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59" w:rsidRPr="00265AE0" w:rsidRDefault="00870259" w:rsidP="00870259">
      <w:pPr>
        <w:pStyle w:val="Standard"/>
        <w:rPr>
          <w:rFonts w:ascii="Cabri" w:hAnsi="Cabri"/>
          <w:lang w:val="en-US"/>
        </w:rPr>
      </w:pPr>
      <w:bookmarkStart w:id="0" w:name="_GoBack"/>
      <w:bookmarkEnd w:id="0"/>
    </w:p>
    <w:p w:rsidR="00870259" w:rsidRPr="00870259" w:rsidRDefault="00870259" w:rsidP="00870259">
      <w:pPr>
        <w:pStyle w:val="Standard"/>
        <w:rPr>
          <w:rFonts w:ascii="Cabri" w:hAnsi="Cabri"/>
          <w:lang w:val="en-US"/>
        </w:rPr>
      </w:pPr>
      <w:proofErr w:type="spellStart"/>
      <w:r w:rsidRPr="00C76148">
        <w:rPr>
          <w:rFonts w:ascii="Cabri" w:hAnsi="Cabri"/>
          <w:lang w:val="en-US"/>
        </w:rPr>
        <w:t>adres</w:t>
      </w:r>
      <w:proofErr w:type="spellEnd"/>
      <w:r w:rsidRPr="00C76148">
        <w:rPr>
          <w:rFonts w:ascii="Cabri" w:hAnsi="Cabri"/>
          <w:lang w:val="en-US"/>
        </w:rPr>
        <w:t xml:space="preserve"> e-mail: ppsek@sn.pl</w:t>
      </w:r>
    </w:p>
    <w:p w:rsidR="00870259" w:rsidRDefault="00870259" w:rsidP="00870259">
      <w:pPr>
        <w:pStyle w:val="Standard"/>
        <w:ind w:left="4785"/>
        <w:rPr>
          <w:rFonts w:ascii="Cabri" w:hAnsi="Cabri"/>
          <w:b/>
          <w:bCs/>
        </w:rPr>
      </w:pPr>
      <w:r>
        <w:rPr>
          <w:rFonts w:ascii="Cabri" w:hAnsi="Cabri"/>
          <w:b/>
          <w:bCs/>
        </w:rPr>
        <w:t xml:space="preserve">Małgorzata </w:t>
      </w:r>
      <w:proofErr w:type="spellStart"/>
      <w:r>
        <w:rPr>
          <w:rFonts w:ascii="Cabri" w:hAnsi="Cabri"/>
          <w:b/>
          <w:bCs/>
        </w:rPr>
        <w:t>Gersdorf</w:t>
      </w:r>
      <w:proofErr w:type="spellEnd"/>
    </w:p>
    <w:p w:rsidR="00870259" w:rsidRDefault="00870259" w:rsidP="00870259">
      <w:pPr>
        <w:pStyle w:val="Standard"/>
        <w:ind w:left="4785"/>
        <w:rPr>
          <w:rFonts w:ascii="Cabri" w:hAnsi="Cabri"/>
          <w:b/>
          <w:bCs/>
        </w:rPr>
      </w:pPr>
      <w:r>
        <w:rPr>
          <w:rFonts w:ascii="Cabri" w:hAnsi="Cabri"/>
          <w:b/>
          <w:bCs/>
        </w:rPr>
        <w:t>Pierwsza Prezes Sądu Najwyższego</w:t>
      </w:r>
    </w:p>
    <w:p w:rsidR="00870259" w:rsidRDefault="00870259" w:rsidP="00870259">
      <w:pPr>
        <w:pStyle w:val="Standard"/>
        <w:ind w:left="4785"/>
        <w:rPr>
          <w:rFonts w:ascii="Cabri" w:hAnsi="Cabri"/>
          <w:b/>
          <w:bCs/>
        </w:rPr>
      </w:pPr>
      <w:r>
        <w:rPr>
          <w:rFonts w:ascii="Cabri" w:hAnsi="Cabri"/>
          <w:b/>
          <w:bCs/>
        </w:rPr>
        <w:t>Plac Krasińskich 2/4/6</w:t>
      </w:r>
    </w:p>
    <w:p w:rsidR="00870259" w:rsidRDefault="00870259" w:rsidP="00870259">
      <w:pPr>
        <w:pStyle w:val="Standard"/>
        <w:ind w:left="4785"/>
        <w:rPr>
          <w:rFonts w:ascii="Cabri" w:hAnsi="Cabri"/>
          <w:b/>
          <w:bCs/>
        </w:rPr>
      </w:pPr>
      <w:r>
        <w:rPr>
          <w:rFonts w:ascii="Cabri" w:hAnsi="Cabri"/>
          <w:b/>
          <w:bCs/>
        </w:rPr>
        <w:t>00-951 Warszawa</w:t>
      </w:r>
    </w:p>
    <w:p w:rsidR="00870259" w:rsidRDefault="00870259" w:rsidP="00870259">
      <w:pPr>
        <w:pStyle w:val="Standard"/>
        <w:rPr>
          <w:rFonts w:ascii="Cabri" w:hAnsi="Cabri"/>
        </w:rPr>
      </w:pPr>
    </w:p>
    <w:p w:rsidR="00870259" w:rsidRDefault="00870259" w:rsidP="00870259">
      <w:pPr>
        <w:pStyle w:val="Standard"/>
        <w:rPr>
          <w:rFonts w:ascii="Cabri" w:hAnsi="Cabri"/>
        </w:rPr>
      </w:pPr>
    </w:p>
    <w:p w:rsidR="00870259" w:rsidRDefault="00870259" w:rsidP="00870259">
      <w:pPr>
        <w:pStyle w:val="Standard"/>
        <w:rPr>
          <w:rFonts w:ascii="Cabri" w:hAnsi="Cabri"/>
          <w:i/>
          <w:iCs/>
        </w:rPr>
      </w:pPr>
    </w:p>
    <w:p w:rsidR="00870259" w:rsidRDefault="00870259" w:rsidP="00373444">
      <w:pPr>
        <w:pStyle w:val="Standard"/>
        <w:ind w:left="993"/>
        <w:jc w:val="both"/>
      </w:pPr>
      <w:r>
        <w:rPr>
          <w:rFonts w:ascii="Cabri" w:hAnsi="Cabri"/>
        </w:rPr>
        <w:t>z informacji zamieszczonych na stronie internetowej Trybunału Konstytucyjnego wynika, iż 11 maja 2017 r. rozpoznana zostanie sprawa z wniosku Pierwszego Prezesa Sądu Najwyższego w sprawie zbadania zgodności z Konstytucją RP wybranych przepisów ustawy o do dostępie do informacji publicznej (K 58/13)</w:t>
      </w:r>
      <w:r>
        <w:rPr>
          <w:rStyle w:val="Odwoanieprzypisudolnego"/>
          <w:rFonts w:ascii="Cabri" w:hAnsi="Cabri"/>
        </w:rPr>
        <w:footnoteReference w:id="1"/>
      </w:r>
      <w:r>
        <w:rPr>
          <w:rFonts w:ascii="Cabri" w:hAnsi="Cabri"/>
        </w:rPr>
        <w:t>.</w:t>
      </w:r>
    </w:p>
    <w:p w:rsidR="00870259" w:rsidRDefault="00870259" w:rsidP="00373444">
      <w:pPr>
        <w:pStyle w:val="Standard"/>
        <w:ind w:left="993"/>
        <w:jc w:val="both"/>
        <w:rPr>
          <w:rFonts w:ascii="Cabri" w:hAnsi="Cabri"/>
        </w:rPr>
      </w:pPr>
    </w:p>
    <w:p w:rsidR="00870259" w:rsidRDefault="00870259" w:rsidP="00373444">
      <w:pPr>
        <w:pStyle w:val="Standard"/>
        <w:ind w:left="993"/>
        <w:jc w:val="both"/>
        <w:rPr>
          <w:rFonts w:ascii="Cabri" w:hAnsi="Cabri"/>
        </w:rPr>
      </w:pPr>
      <w:r>
        <w:rPr>
          <w:rFonts w:ascii="Cabri" w:hAnsi="Cabri"/>
        </w:rPr>
        <w:t xml:space="preserve">Zwracam się do Pani Prezes </w:t>
      </w:r>
      <w:r w:rsidR="009E4261">
        <w:rPr>
          <w:rFonts w:ascii="Cabri" w:hAnsi="Cabri"/>
        </w:rPr>
        <w:t xml:space="preserve">z prośbą </w:t>
      </w:r>
      <w:r>
        <w:rPr>
          <w:rFonts w:ascii="Cabri" w:hAnsi="Cabri"/>
        </w:rPr>
        <w:t>o wycofanie tego wniosku z Trybunału Konstytucyjnego.</w:t>
      </w:r>
    </w:p>
    <w:p w:rsidR="00870259" w:rsidRDefault="00870259" w:rsidP="00373444">
      <w:pPr>
        <w:pStyle w:val="Standard"/>
        <w:ind w:left="993"/>
        <w:jc w:val="both"/>
        <w:rPr>
          <w:rFonts w:ascii="Cabri" w:hAnsi="Cabri"/>
        </w:rPr>
      </w:pPr>
    </w:p>
    <w:p w:rsidR="00870259" w:rsidRDefault="00870259" w:rsidP="00373444">
      <w:pPr>
        <w:pStyle w:val="Standard"/>
        <w:ind w:left="993"/>
        <w:jc w:val="both"/>
      </w:pPr>
      <w:r>
        <w:rPr>
          <w:rFonts w:ascii="Cabri" w:hAnsi="Cabri"/>
        </w:rPr>
        <w:t>Skład wyznaczonym do orzekania w tej sprawie jest nieuprawniony, co pogłębi chaos prawny, a sam Trybunał Konstytucyjny aktualnie nie gwarantuje ochrony wolności i praw.</w:t>
      </w:r>
    </w:p>
    <w:p w:rsidR="00870259" w:rsidRDefault="00870259" w:rsidP="00373444">
      <w:pPr>
        <w:pStyle w:val="Standard"/>
        <w:ind w:left="993"/>
        <w:jc w:val="both"/>
        <w:rPr>
          <w:rFonts w:ascii="Cabri" w:hAnsi="Cabri"/>
        </w:rPr>
      </w:pPr>
    </w:p>
    <w:p w:rsidR="00870259" w:rsidRDefault="00870259" w:rsidP="00373444">
      <w:pPr>
        <w:pStyle w:val="Standard"/>
        <w:ind w:left="993"/>
        <w:jc w:val="both"/>
        <w:rPr>
          <w:rFonts w:ascii="Cabri" w:hAnsi="Cabri"/>
        </w:rPr>
      </w:pPr>
      <w:r>
        <w:rPr>
          <w:rFonts w:ascii="Cabri" w:hAnsi="Cabri"/>
        </w:rPr>
        <w:t>Aktualna sytuacja polityczna może doprowadzić do daleko idącego zagrożenia dla kolejnego fundamentu demokratycznego państwa prawa jakim jest jawność. Doprowadzenie do sytuacji stwierdzenia przez aktualny Trybunał Konstytucyjny niekonstytucyjności znaczącej grupy przepisów ustawy o dostępie do informacji publicznej stanie s</w:t>
      </w:r>
      <w:r w:rsidR="009E4261">
        <w:rPr>
          <w:rFonts w:ascii="Cabri" w:hAnsi="Cabri"/>
        </w:rPr>
        <w:t xml:space="preserve">ię podstawą </w:t>
      </w:r>
      <w:r w:rsidR="009E4261">
        <w:rPr>
          <w:rFonts w:ascii="Cabri" w:hAnsi="Cabri"/>
        </w:rPr>
        <w:t>dla Parlamentu</w:t>
      </w:r>
      <w:r w:rsidR="009E4261">
        <w:rPr>
          <w:rFonts w:ascii="Cabri" w:hAnsi="Cabri"/>
        </w:rPr>
        <w:t xml:space="preserve"> do</w:t>
      </w:r>
      <w:r>
        <w:rPr>
          <w:rFonts w:ascii="Cabri" w:hAnsi="Cabri"/>
        </w:rPr>
        <w:t xml:space="preserve"> prac na</w:t>
      </w:r>
      <w:r w:rsidR="009E4261">
        <w:rPr>
          <w:rFonts w:ascii="Cabri" w:hAnsi="Cabri"/>
        </w:rPr>
        <w:t>d</w:t>
      </w:r>
      <w:r>
        <w:rPr>
          <w:rFonts w:ascii="Cabri" w:hAnsi="Cabri"/>
        </w:rPr>
        <w:t xml:space="preserve"> ich nowym brzemieniem. Obawiam się, że po naruszeniu podstaw społeczeństwa obywatelskiego: wolności zgromadzeń, swobody działania organizacji pozarządowych i ataku na organizacje pozarządowe, upolitycznieniu mediów publicznych oraz próbie naruszenia niezależności władzy sądowniczej, zostanie znaczenie ograniczona jawność. Przypomnieć należy, że jawność stała się jednym uprawnień, które zostało ograniczone w ostatnim czasie na Węgrzech właśnie m.in poprzez zmianę procedur (</w:t>
      </w:r>
      <w:hyperlink r:id="rId6" w:history="1">
        <w:r>
          <w:t>http://informacjapubliczna.org.pl/7,466,wegry_nowa_konstytucja_stanowi_powazne_zagrozenie_dla_prawa_do_informacji.html</w:t>
        </w:r>
      </w:hyperlink>
      <w:r>
        <w:t>; https://siecobywatelska.pl/orban-11-dni-ktore-ogranicza-wolnosc/)</w:t>
      </w:r>
      <w:r>
        <w:rPr>
          <w:rFonts w:ascii="Cabri" w:hAnsi="Cabri"/>
        </w:rPr>
        <w:t>.</w:t>
      </w:r>
    </w:p>
    <w:p w:rsidR="00870259" w:rsidRDefault="009E4261" w:rsidP="00373444">
      <w:pPr>
        <w:pStyle w:val="Standard"/>
        <w:ind w:left="993"/>
        <w:jc w:val="both"/>
        <w:rPr>
          <w:rFonts w:ascii="Cabri" w:hAnsi="Cabri"/>
        </w:rPr>
      </w:pPr>
      <w:r>
        <w:rPr>
          <w:rFonts w:ascii="Cabri" w:hAnsi="Cabri"/>
        </w:rPr>
        <w:t xml:space="preserve"> </w:t>
      </w:r>
    </w:p>
    <w:p w:rsidR="00870259" w:rsidRDefault="00870259" w:rsidP="00373444">
      <w:pPr>
        <w:pStyle w:val="Standard"/>
        <w:ind w:left="993"/>
        <w:jc w:val="both"/>
        <w:rPr>
          <w:rFonts w:ascii="Cabri" w:hAnsi="Cabri"/>
        </w:rPr>
      </w:pPr>
      <w:r>
        <w:rPr>
          <w:rFonts w:ascii="Cabri" w:hAnsi="Cabri"/>
        </w:rPr>
        <w:t>Biorąc pod uwagę zmiany na Węgrzech można przypuszczać, że aktualna większość w Parlamencie nie będzie dążyła do poszerzenia jawności i uproszeniu procedur. Takie działanie nie będzie wyjątkowe dla aktualnej władzy, ponieważ każda władza nie lubi jawności.</w:t>
      </w:r>
    </w:p>
    <w:p w:rsidR="00870259" w:rsidRDefault="00870259" w:rsidP="00373444">
      <w:pPr>
        <w:pStyle w:val="Standard"/>
        <w:ind w:left="993"/>
        <w:jc w:val="both"/>
        <w:rPr>
          <w:rFonts w:ascii="Cabri" w:hAnsi="Cabri"/>
        </w:rPr>
      </w:pPr>
    </w:p>
    <w:p w:rsidR="00870259" w:rsidRDefault="00870259" w:rsidP="00373444">
      <w:pPr>
        <w:pStyle w:val="Standard"/>
        <w:ind w:left="993"/>
        <w:jc w:val="both"/>
      </w:pPr>
      <w:r>
        <w:rPr>
          <w:rFonts w:ascii="Cabri" w:hAnsi="Cabri"/>
        </w:rPr>
        <w:t>Jeżeli 11 maja 2017 r. Trybunał Konstytucyjny wyda wyrok, może to oznaczać ograniczenie mojego prawa do informacji, dzięki któremu dowiaduję się o sprawach publicznych, kontroluję działania władzy i uczestniczę – jako świadoma jednostka – w życiu publicznym.</w:t>
      </w:r>
    </w:p>
    <w:p w:rsidR="00870259" w:rsidRDefault="00870259"/>
    <w:sectPr w:rsidR="008702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C0" w:rsidRDefault="00A47BC0" w:rsidP="00870259">
      <w:pPr>
        <w:spacing w:after="0" w:line="240" w:lineRule="auto"/>
      </w:pPr>
      <w:r>
        <w:separator/>
      </w:r>
    </w:p>
  </w:endnote>
  <w:endnote w:type="continuationSeparator" w:id="0">
    <w:p w:rsidR="00A47BC0" w:rsidRDefault="00A47BC0" w:rsidP="0087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nos">
    <w:altName w:val="Times New Roman"/>
    <w:charset w:val="00"/>
    <w:family w:val="roman"/>
    <w:pitch w:val="variable"/>
  </w:font>
  <w:font w:name="Noto Sans CJK SC Thin">
    <w:charset w:val="00"/>
    <w:family w:val="auto"/>
    <w:pitch w:val="variable"/>
  </w:font>
  <w:font w:name="DejaVu Sans Condensed">
    <w:altName w:val="Arial"/>
    <w:charset w:val="00"/>
    <w:family w:val="swiss"/>
    <w:pitch w:val="default"/>
  </w:font>
  <w:font w:name="Cabri">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C0" w:rsidRDefault="00A47BC0" w:rsidP="00870259">
      <w:pPr>
        <w:spacing w:after="0" w:line="240" w:lineRule="auto"/>
      </w:pPr>
      <w:r>
        <w:separator/>
      </w:r>
    </w:p>
  </w:footnote>
  <w:footnote w:type="continuationSeparator" w:id="0">
    <w:p w:rsidR="00A47BC0" w:rsidRDefault="00A47BC0" w:rsidP="00870259">
      <w:pPr>
        <w:spacing w:after="0" w:line="240" w:lineRule="auto"/>
      </w:pPr>
      <w:r>
        <w:continuationSeparator/>
      </w:r>
    </w:p>
  </w:footnote>
  <w:footnote w:id="1">
    <w:p w:rsidR="00870259" w:rsidRDefault="00870259" w:rsidP="00870259">
      <w:pPr>
        <w:pStyle w:val="Footnote"/>
      </w:pPr>
      <w:r>
        <w:rPr>
          <w:rStyle w:val="Odwoanieprzypisudolnego"/>
        </w:rPr>
        <w:footnoteRef/>
      </w:r>
      <w:r>
        <w:t>http://trybunal.gov.pl/postepowanie-i-orzeczenia/wokanda/art/9656-dostep-do-informacji-publicznej/</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57"/>
    <w:rsid w:val="00083E71"/>
    <w:rsid w:val="00251357"/>
    <w:rsid w:val="00265AE0"/>
    <w:rsid w:val="00365784"/>
    <w:rsid w:val="00373444"/>
    <w:rsid w:val="00547AEE"/>
    <w:rsid w:val="00870259"/>
    <w:rsid w:val="008B0E2A"/>
    <w:rsid w:val="009E4261"/>
    <w:rsid w:val="00A47BC0"/>
    <w:rsid w:val="00BD4291"/>
    <w:rsid w:val="00DE05AA"/>
    <w:rsid w:val="00DE06AB"/>
    <w:rsid w:val="00ED5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AFF7A-FA8B-4693-A809-BED90DD5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83E71"/>
    <w:rPr>
      <w:color w:val="0000FF" w:themeColor="hyperlink"/>
      <w:u w:val="single"/>
    </w:rPr>
  </w:style>
  <w:style w:type="paragraph" w:customStyle="1" w:styleId="Standard">
    <w:name w:val="Standard"/>
    <w:rsid w:val="00870259"/>
    <w:pPr>
      <w:widowControl w:val="0"/>
      <w:suppressAutoHyphens/>
      <w:autoSpaceDN w:val="0"/>
      <w:spacing w:after="0" w:line="240" w:lineRule="auto"/>
      <w:textAlignment w:val="baseline"/>
    </w:pPr>
    <w:rPr>
      <w:rFonts w:ascii="Tinos" w:eastAsia="Noto Sans CJK SC Thin" w:hAnsi="Tinos" w:cs="DejaVu Sans Condensed"/>
      <w:kern w:val="3"/>
      <w:sz w:val="24"/>
      <w:szCs w:val="24"/>
      <w:lang w:eastAsia="zh-CN" w:bidi="hi-IN"/>
    </w:rPr>
  </w:style>
  <w:style w:type="paragraph" w:customStyle="1" w:styleId="Footnote">
    <w:name w:val="Footnote"/>
    <w:basedOn w:val="Standard"/>
    <w:rsid w:val="00870259"/>
    <w:pPr>
      <w:suppressLineNumbers/>
      <w:ind w:left="283" w:hanging="283"/>
    </w:pPr>
    <w:rPr>
      <w:sz w:val="20"/>
      <w:szCs w:val="20"/>
    </w:rPr>
  </w:style>
  <w:style w:type="character" w:styleId="Odwoanieprzypisudolnego">
    <w:name w:val="footnote reference"/>
    <w:basedOn w:val="Domylnaczcionkaakapitu"/>
    <w:rsid w:val="0087025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rmacjapubliczna.org.pl/7,466,wegry_nowa_konstytucja_stanowi_powazne_zagrozenie_dla_prawa_do_informacji.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2030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Martyna</cp:lastModifiedBy>
  <cp:revision>2</cp:revision>
  <dcterms:created xsi:type="dcterms:W3CDTF">2017-04-07T11:42:00Z</dcterms:created>
  <dcterms:modified xsi:type="dcterms:W3CDTF">2017-04-07T11:42:00Z</dcterms:modified>
</cp:coreProperties>
</file>