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087" w:rsidRPr="006B6E7E" w:rsidRDefault="00D35087" w:rsidP="006B6E7E">
      <w:pPr>
        <w:spacing w:after="0" w:line="360" w:lineRule="auto"/>
        <w:jc w:val="both"/>
        <w:rPr>
          <w:rFonts w:asciiTheme="majorHAnsi" w:hAnsiTheme="majorHAnsi" w:cs="Arial"/>
          <w:sz w:val="24"/>
          <w:szCs w:val="28"/>
        </w:rPr>
      </w:pPr>
      <w:bookmarkStart w:id="0" w:name="_GoBack"/>
      <w:bookmarkEnd w:id="0"/>
      <w:r w:rsidRPr="006B6E7E">
        <w:rPr>
          <w:rFonts w:asciiTheme="majorHAnsi" w:hAnsiTheme="majorHAnsi" w:cs="Arial"/>
          <w:sz w:val="24"/>
          <w:szCs w:val="28"/>
        </w:rPr>
        <w:t>Dr hab. Teresa Gardocka, profesor Uniwersytetu SWPS</w:t>
      </w:r>
    </w:p>
    <w:p w:rsidR="00D35087" w:rsidRPr="006B6E7E" w:rsidRDefault="00D35087" w:rsidP="006B6E7E">
      <w:pPr>
        <w:spacing w:after="0" w:line="360" w:lineRule="auto"/>
        <w:jc w:val="both"/>
        <w:rPr>
          <w:rFonts w:asciiTheme="majorHAnsi" w:hAnsiTheme="majorHAnsi" w:cs="Arial"/>
          <w:sz w:val="24"/>
          <w:szCs w:val="28"/>
        </w:rPr>
      </w:pPr>
      <w:r w:rsidRPr="006B6E7E">
        <w:rPr>
          <w:rFonts w:asciiTheme="majorHAnsi" w:hAnsiTheme="majorHAnsi" w:cs="Arial"/>
          <w:sz w:val="24"/>
          <w:szCs w:val="28"/>
        </w:rPr>
        <w:t>Dr Dariusz Jagiełło</w:t>
      </w:r>
    </w:p>
    <w:p w:rsidR="00D35087" w:rsidRPr="006B6E7E" w:rsidRDefault="00D35087" w:rsidP="006B6E7E">
      <w:pPr>
        <w:spacing w:after="0" w:line="360" w:lineRule="auto"/>
        <w:jc w:val="both"/>
        <w:rPr>
          <w:rFonts w:asciiTheme="majorHAnsi" w:hAnsiTheme="majorHAnsi" w:cs="Arial"/>
          <w:sz w:val="24"/>
          <w:szCs w:val="28"/>
        </w:rPr>
      </w:pPr>
      <w:r w:rsidRPr="006B6E7E">
        <w:rPr>
          <w:rFonts w:asciiTheme="majorHAnsi" w:hAnsiTheme="majorHAnsi" w:cs="Arial"/>
          <w:sz w:val="24"/>
          <w:szCs w:val="28"/>
        </w:rPr>
        <w:t>Katedra Prawa Karnego, SWPS Uniwersytet Humanistycznospołeczny</w:t>
      </w:r>
    </w:p>
    <w:p w:rsidR="00D35087" w:rsidRPr="006B6E7E" w:rsidRDefault="00D35087" w:rsidP="006B6E7E">
      <w:pPr>
        <w:spacing w:after="0" w:line="360" w:lineRule="auto"/>
        <w:jc w:val="both"/>
        <w:rPr>
          <w:rFonts w:asciiTheme="majorHAnsi" w:hAnsiTheme="majorHAnsi" w:cs="Arial"/>
          <w:sz w:val="24"/>
          <w:szCs w:val="28"/>
        </w:rPr>
      </w:pPr>
    </w:p>
    <w:p w:rsidR="00D35087" w:rsidRPr="006B6E7E" w:rsidRDefault="00D35087" w:rsidP="006B6E7E">
      <w:pPr>
        <w:spacing w:after="0" w:line="360" w:lineRule="auto"/>
        <w:jc w:val="both"/>
        <w:rPr>
          <w:rFonts w:asciiTheme="majorHAnsi" w:hAnsiTheme="majorHAnsi" w:cs="Arial"/>
          <w:sz w:val="24"/>
          <w:szCs w:val="28"/>
        </w:rPr>
      </w:pPr>
    </w:p>
    <w:p w:rsidR="006B6E7E" w:rsidRPr="006B6E7E" w:rsidRDefault="006B6E7E" w:rsidP="006B6E7E">
      <w:pPr>
        <w:spacing w:after="0" w:line="360" w:lineRule="auto"/>
        <w:jc w:val="both"/>
        <w:rPr>
          <w:rFonts w:asciiTheme="majorHAnsi" w:hAnsiTheme="majorHAnsi" w:cs="Arial"/>
          <w:sz w:val="24"/>
          <w:szCs w:val="28"/>
        </w:rPr>
      </w:pPr>
    </w:p>
    <w:p w:rsidR="00D35087" w:rsidRPr="006B6E7E" w:rsidRDefault="00D35087" w:rsidP="006B6E7E">
      <w:pPr>
        <w:pStyle w:val="Akapitzlist"/>
        <w:numPr>
          <w:ilvl w:val="0"/>
          <w:numId w:val="2"/>
        </w:numPr>
        <w:spacing w:after="0" w:line="360" w:lineRule="auto"/>
        <w:rPr>
          <w:rFonts w:asciiTheme="majorHAnsi" w:hAnsiTheme="majorHAnsi" w:cs="Arial"/>
          <w:b/>
          <w:sz w:val="24"/>
          <w:szCs w:val="28"/>
        </w:rPr>
      </w:pPr>
      <w:r w:rsidRPr="006B6E7E">
        <w:rPr>
          <w:rFonts w:asciiTheme="majorHAnsi" w:hAnsiTheme="majorHAnsi" w:cs="Arial"/>
          <w:b/>
          <w:sz w:val="24"/>
          <w:szCs w:val="28"/>
        </w:rPr>
        <w:t>Uzasa</w:t>
      </w:r>
      <w:r w:rsidR="006B6E7E" w:rsidRPr="006B6E7E">
        <w:rPr>
          <w:rFonts w:asciiTheme="majorHAnsi" w:hAnsiTheme="majorHAnsi" w:cs="Arial"/>
          <w:b/>
          <w:sz w:val="24"/>
          <w:szCs w:val="28"/>
        </w:rPr>
        <w:t>dnienie dla przyjętych wartości/rekordów</w:t>
      </w:r>
    </w:p>
    <w:p w:rsidR="00D35087" w:rsidRPr="006B6E7E" w:rsidRDefault="00D35087" w:rsidP="006B6E7E">
      <w:pPr>
        <w:spacing w:after="0" w:line="360" w:lineRule="auto"/>
        <w:jc w:val="both"/>
        <w:rPr>
          <w:rFonts w:asciiTheme="majorHAnsi" w:hAnsiTheme="majorHAnsi" w:cs="Arial"/>
          <w:sz w:val="24"/>
          <w:szCs w:val="28"/>
        </w:rPr>
      </w:pPr>
    </w:p>
    <w:p w:rsidR="00AA4DB4" w:rsidRPr="006B6E7E" w:rsidRDefault="00AA4DB4" w:rsidP="006B6E7E">
      <w:pPr>
        <w:spacing w:after="0" w:line="360" w:lineRule="auto"/>
        <w:ind w:firstLine="708"/>
        <w:jc w:val="both"/>
        <w:rPr>
          <w:rFonts w:asciiTheme="majorHAnsi" w:hAnsiTheme="majorHAnsi" w:cs="Arial"/>
          <w:sz w:val="24"/>
          <w:szCs w:val="28"/>
        </w:rPr>
      </w:pPr>
      <w:r w:rsidRPr="006B6E7E">
        <w:rPr>
          <w:rFonts w:asciiTheme="majorHAnsi" w:hAnsiTheme="majorHAnsi" w:cs="Arial"/>
          <w:sz w:val="24"/>
          <w:szCs w:val="28"/>
        </w:rPr>
        <w:t>Przy dokonywaniu oceny przesłanych rekordów z punktu widzenia związku przedstawionych zdarzeń z motywacj</w:t>
      </w:r>
      <w:r w:rsidR="00ED0745" w:rsidRPr="006B6E7E">
        <w:rPr>
          <w:rFonts w:asciiTheme="majorHAnsi" w:hAnsiTheme="majorHAnsi" w:cs="Arial"/>
          <w:sz w:val="24"/>
          <w:szCs w:val="28"/>
        </w:rPr>
        <w:t>ą,</w:t>
      </w:r>
      <w:r w:rsidRPr="006B6E7E">
        <w:rPr>
          <w:rFonts w:asciiTheme="majorHAnsi" w:hAnsiTheme="majorHAnsi" w:cs="Arial"/>
          <w:sz w:val="24"/>
          <w:szCs w:val="28"/>
        </w:rPr>
        <w:t xml:space="preserve"> w postaci nienawiści do </w:t>
      </w:r>
      <w:r w:rsidR="00ED0745" w:rsidRPr="006B6E7E">
        <w:rPr>
          <w:rFonts w:asciiTheme="majorHAnsi" w:hAnsiTheme="majorHAnsi" w:cs="Arial"/>
          <w:sz w:val="24"/>
          <w:szCs w:val="28"/>
        </w:rPr>
        <w:t>określonej</w:t>
      </w:r>
      <w:r w:rsidRPr="006B6E7E">
        <w:rPr>
          <w:rFonts w:asciiTheme="majorHAnsi" w:hAnsiTheme="majorHAnsi" w:cs="Arial"/>
          <w:sz w:val="24"/>
          <w:szCs w:val="28"/>
        </w:rPr>
        <w:t xml:space="preserve"> z punktu widzenia rozmaitych cech wspólnych grupy</w:t>
      </w:r>
      <w:r w:rsidR="00ED0745" w:rsidRPr="006B6E7E">
        <w:rPr>
          <w:rFonts w:asciiTheme="majorHAnsi" w:hAnsiTheme="majorHAnsi" w:cs="Arial"/>
          <w:sz w:val="24"/>
          <w:szCs w:val="28"/>
        </w:rPr>
        <w:t>,</w:t>
      </w:r>
      <w:r w:rsidRPr="006B6E7E">
        <w:rPr>
          <w:rFonts w:asciiTheme="majorHAnsi" w:hAnsiTheme="majorHAnsi" w:cs="Arial"/>
          <w:sz w:val="24"/>
          <w:szCs w:val="28"/>
        </w:rPr>
        <w:t xml:space="preserve"> kierowaliśmy si</w:t>
      </w:r>
      <w:r w:rsidR="004D3EDA" w:rsidRPr="006B6E7E">
        <w:rPr>
          <w:rFonts w:asciiTheme="majorHAnsi" w:hAnsiTheme="majorHAnsi" w:cs="Arial"/>
          <w:sz w:val="24"/>
          <w:szCs w:val="28"/>
        </w:rPr>
        <w:t>ę pewnymi wstępnymi założeniami</w:t>
      </w:r>
      <w:r w:rsidRPr="006B6E7E">
        <w:rPr>
          <w:rFonts w:asciiTheme="majorHAnsi" w:hAnsiTheme="majorHAnsi" w:cs="Arial"/>
          <w:sz w:val="24"/>
          <w:szCs w:val="28"/>
        </w:rPr>
        <w:t>.</w:t>
      </w:r>
      <w:r w:rsidR="004D3EDA" w:rsidRPr="006B6E7E">
        <w:rPr>
          <w:rFonts w:asciiTheme="majorHAnsi" w:hAnsiTheme="majorHAnsi" w:cs="Arial"/>
          <w:sz w:val="24"/>
          <w:szCs w:val="28"/>
        </w:rPr>
        <w:t xml:space="preserve"> Z</w:t>
      </w:r>
      <w:r w:rsidRPr="006B6E7E">
        <w:rPr>
          <w:rFonts w:asciiTheme="majorHAnsi" w:hAnsiTheme="majorHAnsi" w:cs="Arial"/>
          <w:sz w:val="24"/>
          <w:szCs w:val="28"/>
        </w:rPr>
        <w:t xml:space="preserve">definiowaliśmy </w:t>
      </w:r>
      <w:r w:rsidR="004D3EDA" w:rsidRPr="006B6E7E">
        <w:rPr>
          <w:rFonts w:asciiTheme="majorHAnsi" w:hAnsiTheme="majorHAnsi" w:cs="Arial"/>
          <w:sz w:val="24"/>
          <w:szCs w:val="28"/>
        </w:rPr>
        <w:t xml:space="preserve">je </w:t>
      </w:r>
      <w:r w:rsidR="006D7B7A" w:rsidRPr="006B6E7E">
        <w:rPr>
          <w:rFonts w:asciiTheme="majorHAnsi" w:hAnsiTheme="majorHAnsi" w:cs="Arial"/>
          <w:sz w:val="24"/>
          <w:szCs w:val="28"/>
        </w:rPr>
        <w:t>jak nastę</w:t>
      </w:r>
      <w:r w:rsidRPr="006B6E7E">
        <w:rPr>
          <w:rFonts w:asciiTheme="majorHAnsi" w:hAnsiTheme="majorHAnsi" w:cs="Arial"/>
          <w:sz w:val="24"/>
          <w:szCs w:val="28"/>
        </w:rPr>
        <w:t>puje:</w:t>
      </w:r>
    </w:p>
    <w:p w:rsidR="00AA4DB4" w:rsidRPr="006B6E7E" w:rsidRDefault="004E7EEA" w:rsidP="006B6E7E">
      <w:pPr>
        <w:pStyle w:val="Akapitzlist"/>
        <w:numPr>
          <w:ilvl w:val="0"/>
          <w:numId w:val="1"/>
        </w:numPr>
        <w:spacing w:after="0" w:line="360" w:lineRule="auto"/>
        <w:jc w:val="both"/>
        <w:rPr>
          <w:rFonts w:asciiTheme="majorHAnsi" w:hAnsiTheme="majorHAnsi" w:cs="Arial"/>
          <w:sz w:val="24"/>
          <w:szCs w:val="28"/>
        </w:rPr>
      </w:pPr>
      <w:r w:rsidRPr="006B6E7E">
        <w:rPr>
          <w:rFonts w:asciiTheme="majorHAnsi" w:hAnsiTheme="majorHAnsi" w:cs="Arial"/>
          <w:sz w:val="24"/>
          <w:szCs w:val="28"/>
        </w:rPr>
        <w:t>Czy opisane pokrótce zdarzenie wypełnia (</w:t>
      </w:r>
      <w:r w:rsidR="00D35087" w:rsidRPr="006B6E7E">
        <w:rPr>
          <w:rFonts w:asciiTheme="majorHAnsi" w:hAnsiTheme="majorHAnsi" w:cs="Arial"/>
          <w:sz w:val="24"/>
          <w:szCs w:val="28"/>
        </w:rPr>
        <w:t xml:space="preserve">ewentualnie chociażby </w:t>
      </w:r>
      <w:r w:rsidRPr="006B6E7E">
        <w:rPr>
          <w:rFonts w:asciiTheme="majorHAnsi" w:hAnsiTheme="majorHAnsi" w:cs="Arial"/>
          <w:sz w:val="24"/>
          <w:szCs w:val="28"/>
        </w:rPr>
        <w:t xml:space="preserve">przypuszczalnie wypełnia) znamiona przestępstwa według </w:t>
      </w:r>
      <w:r w:rsidR="00D35087" w:rsidRPr="006B6E7E">
        <w:rPr>
          <w:rFonts w:asciiTheme="majorHAnsi" w:hAnsiTheme="majorHAnsi" w:cs="Arial"/>
          <w:sz w:val="24"/>
          <w:szCs w:val="28"/>
        </w:rPr>
        <w:t xml:space="preserve">znamion wskazanych w </w:t>
      </w:r>
      <w:r w:rsidRPr="006B6E7E">
        <w:rPr>
          <w:rFonts w:asciiTheme="majorHAnsi" w:hAnsiTheme="majorHAnsi" w:cs="Arial"/>
          <w:sz w:val="24"/>
          <w:szCs w:val="28"/>
        </w:rPr>
        <w:t>kodeks</w:t>
      </w:r>
      <w:r w:rsidR="00D35087" w:rsidRPr="006B6E7E">
        <w:rPr>
          <w:rFonts w:asciiTheme="majorHAnsi" w:hAnsiTheme="majorHAnsi" w:cs="Arial"/>
          <w:sz w:val="24"/>
          <w:szCs w:val="28"/>
        </w:rPr>
        <w:t>ie</w:t>
      </w:r>
      <w:r w:rsidRPr="006B6E7E">
        <w:rPr>
          <w:rFonts w:asciiTheme="majorHAnsi" w:hAnsiTheme="majorHAnsi" w:cs="Arial"/>
          <w:sz w:val="24"/>
          <w:szCs w:val="28"/>
        </w:rPr>
        <w:t xml:space="preserve"> karn</w:t>
      </w:r>
      <w:r w:rsidR="00D35087" w:rsidRPr="006B6E7E">
        <w:rPr>
          <w:rFonts w:asciiTheme="majorHAnsi" w:hAnsiTheme="majorHAnsi" w:cs="Arial"/>
          <w:sz w:val="24"/>
          <w:szCs w:val="28"/>
        </w:rPr>
        <w:t>ym</w:t>
      </w:r>
      <w:r w:rsidRPr="006B6E7E">
        <w:rPr>
          <w:rFonts w:asciiTheme="majorHAnsi" w:hAnsiTheme="majorHAnsi" w:cs="Arial"/>
          <w:sz w:val="24"/>
          <w:szCs w:val="28"/>
        </w:rPr>
        <w:t xml:space="preserve"> </w:t>
      </w:r>
      <w:r w:rsidR="004D3EDA" w:rsidRPr="006B6E7E">
        <w:rPr>
          <w:rFonts w:asciiTheme="majorHAnsi" w:hAnsiTheme="majorHAnsi" w:cs="Arial"/>
          <w:sz w:val="24"/>
          <w:szCs w:val="28"/>
        </w:rPr>
        <w:t xml:space="preserve">z </w:t>
      </w:r>
      <w:r w:rsidRPr="006B6E7E">
        <w:rPr>
          <w:rFonts w:asciiTheme="majorHAnsi" w:hAnsiTheme="majorHAnsi" w:cs="Arial"/>
          <w:sz w:val="24"/>
          <w:szCs w:val="28"/>
        </w:rPr>
        <w:t>1997</w:t>
      </w:r>
      <w:r w:rsidR="004D3EDA" w:rsidRPr="006B6E7E">
        <w:rPr>
          <w:rFonts w:asciiTheme="majorHAnsi" w:hAnsiTheme="majorHAnsi" w:cs="Arial"/>
          <w:sz w:val="24"/>
          <w:szCs w:val="28"/>
        </w:rPr>
        <w:t xml:space="preserve"> roku?</w:t>
      </w:r>
    </w:p>
    <w:p w:rsidR="004E7EEA" w:rsidRPr="006B6E7E" w:rsidRDefault="004E7EEA" w:rsidP="006B6E7E">
      <w:pPr>
        <w:pStyle w:val="Akapitzlist"/>
        <w:numPr>
          <w:ilvl w:val="0"/>
          <w:numId w:val="1"/>
        </w:numPr>
        <w:spacing w:after="0" w:line="360" w:lineRule="auto"/>
        <w:jc w:val="both"/>
        <w:rPr>
          <w:rFonts w:asciiTheme="majorHAnsi" w:hAnsiTheme="majorHAnsi" w:cs="Arial"/>
          <w:sz w:val="24"/>
          <w:szCs w:val="28"/>
        </w:rPr>
      </w:pPr>
      <w:r w:rsidRPr="006B6E7E">
        <w:rPr>
          <w:rFonts w:asciiTheme="majorHAnsi" w:hAnsiTheme="majorHAnsi" w:cs="Arial"/>
          <w:sz w:val="24"/>
          <w:szCs w:val="28"/>
        </w:rPr>
        <w:t>Do znamion jakiego przestępstwa pasuje opisana sytuacja</w:t>
      </w:r>
      <w:r w:rsidR="004D3EDA" w:rsidRPr="006B6E7E">
        <w:rPr>
          <w:rFonts w:asciiTheme="majorHAnsi" w:hAnsiTheme="majorHAnsi" w:cs="Arial"/>
          <w:sz w:val="24"/>
          <w:szCs w:val="28"/>
        </w:rPr>
        <w:t>?</w:t>
      </w:r>
      <w:r w:rsidRPr="006B6E7E">
        <w:rPr>
          <w:rFonts w:asciiTheme="majorHAnsi" w:hAnsiTheme="majorHAnsi" w:cs="Arial"/>
          <w:sz w:val="24"/>
          <w:szCs w:val="28"/>
        </w:rPr>
        <w:t xml:space="preserve"> Braliśmy pod uwagę przestępstwo znies</w:t>
      </w:r>
      <w:r w:rsidR="004D3EDA" w:rsidRPr="006B6E7E">
        <w:rPr>
          <w:rFonts w:asciiTheme="majorHAnsi" w:hAnsiTheme="majorHAnsi" w:cs="Arial"/>
          <w:sz w:val="24"/>
          <w:szCs w:val="28"/>
        </w:rPr>
        <w:t xml:space="preserve">ławienia z </w:t>
      </w:r>
      <w:r w:rsidRPr="006B6E7E">
        <w:rPr>
          <w:rFonts w:asciiTheme="majorHAnsi" w:hAnsiTheme="majorHAnsi" w:cs="Arial"/>
          <w:sz w:val="24"/>
          <w:szCs w:val="28"/>
        </w:rPr>
        <w:t>art.</w:t>
      </w:r>
      <w:r w:rsidR="00F33841" w:rsidRPr="006B6E7E">
        <w:rPr>
          <w:rFonts w:asciiTheme="majorHAnsi" w:hAnsiTheme="majorHAnsi" w:cs="Arial"/>
          <w:sz w:val="24"/>
          <w:szCs w:val="28"/>
        </w:rPr>
        <w:t xml:space="preserve"> </w:t>
      </w:r>
      <w:r w:rsidRPr="006B6E7E">
        <w:rPr>
          <w:rFonts w:asciiTheme="majorHAnsi" w:hAnsiTheme="majorHAnsi" w:cs="Arial"/>
          <w:sz w:val="24"/>
          <w:szCs w:val="28"/>
        </w:rPr>
        <w:t xml:space="preserve">212 k.k., przestępstwo zniewagi </w:t>
      </w:r>
      <w:r w:rsidR="004D3EDA" w:rsidRPr="006B6E7E">
        <w:rPr>
          <w:rFonts w:asciiTheme="majorHAnsi" w:hAnsiTheme="majorHAnsi" w:cs="Arial"/>
          <w:sz w:val="24"/>
          <w:szCs w:val="28"/>
        </w:rPr>
        <w:t xml:space="preserve">z </w:t>
      </w:r>
      <w:r w:rsidRPr="006B6E7E">
        <w:rPr>
          <w:rFonts w:asciiTheme="majorHAnsi" w:hAnsiTheme="majorHAnsi" w:cs="Arial"/>
          <w:sz w:val="24"/>
          <w:szCs w:val="28"/>
        </w:rPr>
        <w:t>art.</w:t>
      </w:r>
      <w:r w:rsidR="00F33841" w:rsidRPr="006B6E7E">
        <w:rPr>
          <w:rFonts w:asciiTheme="majorHAnsi" w:hAnsiTheme="majorHAnsi" w:cs="Arial"/>
          <w:sz w:val="24"/>
          <w:szCs w:val="28"/>
        </w:rPr>
        <w:t xml:space="preserve"> 216</w:t>
      </w:r>
      <w:r w:rsidR="004D3EDA" w:rsidRPr="006B6E7E">
        <w:rPr>
          <w:rFonts w:asciiTheme="majorHAnsi" w:hAnsiTheme="majorHAnsi" w:cs="Arial"/>
          <w:sz w:val="24"/>
          <w:szCs w:val="28"/>
        </w:rPr>
        <w:t xml:space="preserve"> </w:t>
      </w:r>
      <w:r w:rsidR="00F33841" w:rsidRPr="006B6E7E">
        <w:rPr>
          <w:rFonts w:asciiTheme="majorHAnsi" w:hAnsiTheme="majorHAnsi" w:cs="Arial"/>
          <w:sz w:val="24"/>
          <w:szCs w:val="28"/>
        </w:rPr>
        <w:t>i</w:t>
      </w:r>
      <w:r w:rsidR="00751A53" w:rsidRPr="006B6E7E">
        <w:rPr>
          <w:rFonts w:asciiTheme="majorHAnsi" w:hAnsiTheme="majorHAnsi" w:cs="Arial"/>
          <w:sz w:val="24"/>
          <w:szCs w:val="28"/>
        </w:rPr>
        <w:t xml:space="preserve"> 257 k.k. oraz</w:t>
      </w:r>
      <w:r w:rsidR="004D3EDA" w:rsidRPr="006B6E7E">
        <w:rPr>
          <w:rFonts w:asciiTheme="majorHAnsi" w:hAnsiTheme="majorHAnsi" w:cs="Arial"/>
          <w:sz w:val="24"/>
          <w:szCs w:val="28"/>
        </w:rPr>
        <w:t xml:space="preserve"> </w:t>
      </w:r>
      <w:r w:rsidRPr="006B6E7E">
        <w:rPr>
          <w:rFonts w:asciiTheme="majorHAnsi" w:hAnsiTheme="majorHAnsi" w:cs="Arial"/>
          <w:sz w:val="24"/>
          <w:szCs w:val="28"/>
        </w:rPr>
        <w:t>przestępstwo naruszenia nietyka</w:t>
      </w:r>
      <w:r w:rsidR="004D3EDA" w:rsidRPr="006B6E7E">
        <w:rPr>
          <w:rFonts w:asciiTheme="majorHAnsi" w:hAnsiTheme="majorHAnsi" w:cs="Arial"/>
          <w:sz w:val="24"/>
          <w:szCs w:val="28"/>
        </w:rPr>
        <w:t>lności cielesnej z art. 217 k.k.</w:t>
      </w:r>
    </w:p>
    <w:p w:rsidR="004E7EEA" w:rsidRPr="006B6E7E" w:rsidRDefault="004E7EEA" w:rsidP="006B6E7E">
      <w:pPr>
        <w:pStyle w:val="Akapitzlist"/>
        <w:numPr>
          <w:ilvl w:val="0"/>
          <w:numId w:val="1"/>
        </w:numPr>
        <w:spacing w:after="0" w:line="360" w:lineRule="auto"/>
        <w:jc w:val="both"/>
        <w:rPr>
          <w:rFonts w:asciiTheme="majorHAnsi" w:hAnsiTheme="majorHAnsi" w:cs="Arial"/>
          <w:sz w:val="24"/>
          <w:szCs w:val="28"/>
        </w:rPr>
      </w:pPr>
      <w:r w:rsidRPr="006B6E7E">
        <w:rPr>
          <w:rFonts w:asciiTheme="majorHAnsi" w:hAnsiTheme="majorHAnsi" w:cs="Arial"/>
          <w:sz w:val="24"/>
          <w:szCs w:val="28"/>
        </w:rPr>
        <w:t xml:space="preserve">Czy w opisanej sytuacji pojawia się w ewentualnej (stwierdzonej na podstawie opisu lub </w:t>
      </w:r>
      <w:r w:rsidR="004D3EDA" w:rsidRPr="006B6E7E">
        <w:rPr>
          <w:rFonts w:asciiTheme="majorHAnsi" w:hAnsiTheme="majorHAnsi" w:cs="Arial"/>
          <w:sz w:val="24"/>
          <w:szCs w:val="28"/>
        </w:rPr>
        <w:t>przypuszczalnej) motywacji</w:t>
      </w:r>
      <w:r w:rsidRPr="006B6E7E">
        <w:rPr>
          <w:rFonts w:asciiTheme="majorHAnsi" w:hAnsiTheme="majorHAnsi" w:cs="Arial"/>
          <w:sz w:val="24"/>
          <w:szCs w:val="28"/>
        </w:rPr>
        <w:t xml:space="preserve"> sprawcy czynu element nienawiści związanej ze szczególna cechą pokrzywdzonego, która pozwala zaliczyć go do określon</w:t>
      </w:r>
      <w:r w:rsidR="004D3EDA" w:rsidRPr="006B6E7E">
        <w:rPr>
          <w:rFonts w:asciiTheme="majorHAnsi" w:hAnsiTheme="majorHAnsi" w:cs="Arial"/>
          <w:sz w:val="24"/>
          <w:szCs w:val="28"/>
        </w:rPr>
        <w:t>ej na podstawie tej cechy grupy?</w:t>
      </w:r>
    </w:p>
    <w:p w:rsidR="004E7EEA" w:rsidRPr="006B6E7E" w:rsidRDefault="004E7EEA" w:rsidP="006B6E7E">
      <w:pPr>
        <w:pStyle w:val="Akapitzlist"/>
        <w:numPr>
          <w:ilvl w:val="0"/>
          <w:numId w:val="1"/>
        </w:numPr>
        <w:spacing w:after="0" w:line="360" w:lineRule="auto"/>
        <w:jc w:val="both"/>
        <w:rPr>
          <w:rFonts w:asciiTheme="majorHAnsi" w:hAnsiTheme="majorHAnsi" w:cs="Arial"/>
          <w:sz w:val="24"/>
          <w:szCs w:val="28"/>
        </w:rPr>
      </w:pPr>
      <w:r w:rsidRPr="006B6E7E">
        <w:rPr>
          <w:rFonts w:asciiTheme="majorHAnsi" w:hAnsiTheme="majorHAnsi" w:cs="Arial"/>
          <w:sz w:val="24"/>
          <w:szCs w:val="28"/>
        </w:rPr>
        <w:t>Dokonując oceny wskazanej w punkcie 3 braliśmy pod uwagę nie tylko cechy wymienion</w:t>
      </w:r>
      <w:r w:rsidR="004D3EDA" w:rsidRPr="006B6E7E">
        <w:rPr>
          <w:rFonts w:asciiTheme="majorHAnsi" w:hAnsiTheme="majorHAnsi" w:cs="Arial"/>
          <w:sz w:val="24"/>
          <w:szCs w:val="28"/>
        </w:rPr>
        <w:t xml:space="preserve">e w art. 257 k.k., a mianowicie: przynależność narodową, </w:t>
      </w:r>
      <w:r w:rsidRPr="006B6E7E">
        <w:rPr>
          <w:rFonts w:asciiTheme="majorHAnsi" w:hAnsiTheme="majorHAnsi" w:cs="Arial"/>
          <w:sz w:val="24"/>
          <w:szCs w:val="28"/>
        </w:rPr>
        <w:t>przy</w:t>
      </w:r>
      <w:r w:rsidR="004D3EDA" w:rsidRPr="006B6E7E">
        <w:rPr>
          <w:rFonts w:asciiTheme="majorHAnsi" w:hAnsiTheme="majorHAnsi" w:cs="Arial"/>
          <w:sz w:val="24"/>
          <w:szCs w:val="28"/>
        </w:rPr>
        <w:t>należność etniczną, rasę,</w:t>
      </w:r>
      <w:r w:rsidRPr="006B6E7E">
        <w:rPr>
          <w:rFonts w:asciiTheme="majorHAnsi" w:hAnsiTheme="majorHAnsi" w:cs="Arial"/>
          <w:sz w:val="24"/>
          <w:szCs w:val="28"/>
        </w:rPr>
        <w:t xml:space="preserve"> wyznanie lub bezwyznaniowość, ale również inne potencjalne przejawy nienawiści. </w:t>
      </w:r>
      <w:r w:rsidR="00E43728" w:rsidRPr="006B6E7E">
        <w:rPr>
          <w:rFonts w:asciiTheme="majorHAnsi" w:hAnsiTheme="majorHAnsi" w:cs="Arial"/>
          <w:sz w:val="24"/>
          <w:szCs w:val="28"/>
        </w:rPr>
        <w:t xml:space="preserve"> </w:t>
      </w:r>
    </w:p>
    <w:p w:rsidR="00D35087" w:rsidRPr="006B6E7E" w:rsidRDefault="00D35087" w:rsidP="006B6E7E">
      <w:pPr>
        <w:spacing w:after="0" w:line="360" w:lineRule="auto"/>
        <w:jc w:val="both"/>
        <w:rPr>
          <w:rFonts w:asciiTheme="majorHAnsi" w:hAnsiTheme="majorHAnsi" w:cs="Arial"/>
          <w:sz w:val="24"/>
          <w:szCs w:val="28"/>
        </w:rPr>
      </w:pPr>
    </w:p>
    <w:p w:rsidR="00E43728" w:rsidRPr="006B6E7E" w:rsidRDefault="00E43728" w:rsidP="006B6E7E">
      <w:pPr>
        <w:spacing w:after="0" w:line="360" w:lineRule="auto"/>
        <w:ind w:firstLine="708"/>
        <w:jc w:val="both"/>
        <w:rPr>
          <w:rFonts w:asciiTheme="majorHAnsi" w:hAnsiTheme="majorHAnsi" w:cs="Arial"/>
          <w:sz w:val="24"/>
          <w:szCs w:val="28"/>
        </w:rPr>
      </w:pPr>
      <w:r w:rsidRPr="006B6E7E">
        <w:rPr>
          <w:rFonts w:asciiTheme="majorHAnsi" w:hAnsiTheme="majorHAnsi" w:cs="Arial"/>
          <w:sz w:val="24"/>
          <w:szCs w:val="28"/>
        </w:rPr>
        <w:t>Obecny kształt przepisu art. 257 k.k., w którym wymieniono wyczerpująco przyczyny nienawiści, które uzasadniają zakwalifikowanie zniewagi lub naruszenia nietykalności cielesnej</w:t>
      </w:r>
      <w:r w:rsidR="004D3EDA" w:rsidRPr="006B6E7E">
        <w:rPr>
          <w:rFonts w:asciiTheme="majorHAnsi" w:hAnsiTheme="majorHAnsi" w:cs="Arial"/>
          <w:sz w:val="24"/>
          <w:szCs w:val="28"/>
        </w:rPr>
        <w:t>,</w:t>
      </w:r>
      <w:r w:rsidRPr="006B6E7E">
        <w:rPr>
          <w:rFonts w:asciiTheme="majorHAnsi" w:hAnsiTheme="majorHAnsi" w:cs="Arial"/>
          <w:sz w:val="24"/>
          <w:szCs w:val="28"/>
        </w:rPr>
        <w:t xml:space="preserve"> jako przestępstwa publicznoskargowego (przestępstwa z art.</w:t>
      </w:r>
      <w:r w:rsidR="00F33841" w:rsidRPr="006B6E7E">
        <w:rPr>
          <w:rFonts w:asciiTheme="majorHAnsi" w:hAnsiTheme="majorHAnsi" w:cs="Arial"/>
          <w:sz w:val="24"/>
          <w:szCs w:val="28"/>
        </w:rPr>
        <w:t xml:space="preserve"> </w:t>
      </w:r>
      <w:r w:rsidRPr="006B6E7E">
        <w:rPr>
          <w:rFonts w:asciiTheme="majorHAnsi" w:hAnsiTheme="majorHAnsi" w:cs="Arial"/>
          <w:sz w:val="24"/>
          <w:szCs w:val="28"/>
        </w:rPr>
        <w:t>216 i 217 k.</w:t>
      </w:r>
      <w:r w:rsidR="004D3EDA" w:rsidRPr="006B6E7E">
        <w:rPr>
          <w:rFonts w:asciiTheme="majorHAnsi" w:hAnsiTheme="majorHAnsi" w:cs="Arial"/>
          <w:sz w:val="24"/>
          <w:szCs w:val="28"/>
        </w:rPr>
        <w:t>k. należą</w:t>
      </w:r>
      <w:r w:rsidRPr="006B6E7E">
        <w:rPr>
          <w:rFonts w:asciiTheme="majorHAnsi" w:hAnsiTheme="majorHAnsi" w:cs="Arial"/>
          <w:sz w:val="24"/>
          <w:szCs w:val="28"/>
        </w:rPr>
        <w:t xml:space="preserve"> do przestępstw pry</w:t>
      </w:r>
      <w:r w:rsidR="004D3EDA" w:rsidRPr="006B6E7E">
        <w:rPr>
          <w:rFonts w:asciiTheme="majorHAnsi" w:hAnsiTheme="majorHAnsi" w:cs="Arial"/>
          <w:sz w:val="24"/>
          <w:szCs w:val="28"/>
        </w:rPr>
        <w:t xml:space="preserve">watnoskargowych) datuje się od </w:t>
      </w:r>
      <w:r w:rsidR="00736F08" w:rsidRPr="006B6E7E">
        <w:rPr>
          <w:rFonts w:asciiTheme="majorHAnsi" w:hAnsiTheme="majorHAnsi" w:cs="Arial"/>
          <w:sz w:val="24"/>
          <w:szCs w:val="28"/>
        </w:rPr>
        <w:t>1946</w:t>
      </w:r>
      <w:r w:rsidRPr="006B6E7E">
        <w:rPr>
          <w:rFonts w:asciiTheme="majorHAnsi" w:hAnsiTheme="majorHAnsi" w:cs="Arial"/>
          <w:sz w:val="24"/>
          <w:szCs w:val="28"/>
        </w:rPr>
        <w:t xml:space="preserve"> roku (przepis taki </w:t>
      </w:r>
      <w:r w:rsidR="00D35087" w:rsidRPr="006B6E7E">
        <w:rPr>
          <w:rFonts w:asciiTheme="majorHAnsi" w:hAnsiTheme="majorHAnsi" w:cs="Arial"/>
          <w:sz w:val="24"/>
          <w:szCs w:val="28"/>
        </w:rPr>
        <w:t xml:space="preserve">występował </w:t>
      </w:r>
      <w:r w:rsidRPr="006B6E7E">
        <w:rPr>
          <w:rFonts w:asciiTheme="majorHAnsi" w:hAnsiTheme="majorHAnsi" w:cs="Arial"/>
          <w:sz w:val="24"/>
          <w:szCs w:val="28"/>
        </w:rPr>
        <w:t>w tzw</w:t>
      </w:r>
      <w:r w:rsidR="004D3EDA" w:rsidRPr="006B6E7E">
        <w:rPr>
          <w:rFonts w:asciiTheme="majorHAnsi" w:hAnsiTheme="majorHAnsi" w:cs="Arial"/>
          <w:sz w:val="24"/>
          <w:szCs w:val="28"/>
        </w:rPr>
        <w:t>.</w:t>
      </w:r>
      <w:r w:rsidRPr="006B6E7E">
        <w:rPr>
          <w:rFonts w:asciiTheme="majorHAnsi" w:hAnsiTheme="majorHAnsi" w:cs="Arial"/>
          <w:sz w:val="24"/>
          <w:szCs w:val="28"/>
        </w:rPr>
        <w:t xml:space="preserve"> małym kodeksie karnym – </w:t>
      </w:r>
      <w:r w:rsidR="00874E50" w:rsidRPr="006B6E7E">
        <w:rPr>
          <w:rFonts w:asciiTheme="majorHAnsi" w:hAnsiTheme="majorHAnsi" w:cs="Arial"/>
          <w:sz w:val="24"/>
          <w:szCs w:val="28"/>
        </w:rPr>
        <w:t xml:space="preserve">Dekret z dnia 13 czerwca 1946 r. </w:t>
      </w:r>
      <w:r w:rsidRPr="006B6E7E">
        <w:rPr>
          <w:rFonts w:asciiTheme="majorHAnsi" w:hAnsiTheme="majorHAnsi" w:cs="Arial"/>
          <w:i/>
          <w:sz w:val="24"/>
          <w:szCs w:val="28"/>
        </w:rPr>
        <w:t xml:space="preserve">o przestępstwach szczególnie niebezpiecznych w okresie odbudowy </w:t>
      </w:r>
      <w:r w:rsidR="004D3EDA" w:rsidRPr="006B6E7E">
        <w:rPr>
          <w:rFonts w:asciiTheme="majorHAnsi" w:hAnsiTheme="majorHAnsi" w:cs="Arial"/>
          <w:i/>
          <w:sz w:val="24"/>
          <w:szCs w:val="28"/>
        </w:rPr>
        <w:t>Państwa</w:t>
      </w:r>
      <w:r w:rsidR="00874E50" w:rsidRPr="006B6E7E">
        <w:rPr>
          <w:rFonts w:asciiTheme="majorHAnsi" w:hAnsiTheme="majorHAnsi" w:cs="Arial"/>
          <w:sz w:val="24"/>
          <w:szCs w:val="28"/>
        </w:rPr>
        <w:t xml:space="preserve">, Dz. U. </w:t>
      </w:r>
      <w:r w:rsidR="00874E50" w:rsidRPr="006B6E7E">
        <w:rPr>
          <w:rFonts w:asciiTheme="majorHAnsi" w:hAnsiTheme="majorHAnsi" w:cs="Arial"/>
          <w:sz w:val="24"/>
          <w:szCs w:val="28"/>
        </w:rPr>
        <w:lastRenderedPageBreak/>
        <w:t>z 1946 r., nr 30, poz. 192 – por. m.in. art. 30 - 32</w:t>
      </w:r>
      <w:r w:rsidR="00E076EA" w:rsidRPr="006B6E7E">
        <w:rPr>
          <w:rFonts w:asciiTheme="majorHAnsi" w:hAnsiTheme="majorHAnsi" w:cs="Arial"/>
          <w:sz w:val="24"/>
          <w:szCs w:val="28"/>
        </w:rPr>
        <w:t xml:space="preserve">). Geneza </w:t>
      </w:r>
      <w:r w:rsidR="004D3EDA" w:rsidRPr="006B6E7E">
        <w:rPr>
          <w:rFonts w:asciiTheme="majorHAnsi" w:hAnsiTheme="majorHAnsi" w:cs="Arial"/>
          <w:sz w:val="24"/>
          <w:szCs w:val="28"/>
        </w:rPr>
        <w:t>przepisu m</w:t>
      </w:r>
      <w:r w:rsidRPr="006B6E7E">
        <w:rPr>
          <w:rFonts w:asciiTheme="majorHAnsi" w:hAnsiTheme="majorHAnsi" w:cs="Arial"/>
          <w:sz w:val="24"/>
          <w:szCs w:val="28"/>
        </w:rPr>
        <w:t>a określone tło historyczne, przede wszystkim antysemityzm i powstanie grupy otwarcie deklarującej bezwyznaniowość.</w:t>
      </w:r>
    </w:p>
    <w:p w:rsidR="00E43728" w:rsidRPr="006B6E7E" w:rsidRDefault="00E43728" w:rsidP="006B6E7E">
      <w:pPr>
        <w:spacing w:after="0" w:line="360" w:lineRule="auto"/>
        <w:jc w:val="both"/>
        <w:rPr>
          <w:rFonts w:asciiTheme="majorHAnsi" w:hAnsiTheme="majorHAnsi" w:cs="Arial"/>
          <w:sz w:val="24"/>
          <w:szCs w:val="28"/>
        </w:rPr>
      </w:pPr>
      <w:r w:rsidRPr="006B6E7E">
        <w:rPr>
          <w:rFonts w:asciiTheme="majorHAnsi" w:hAnsiTheme="majorHAnsi" w:cs="Arial"/>
          <w:sz w:val="24"/>
          <w:szCs w:val="28"/>
        </w:rPr>
        <w:t xml:space="preserve">Od wielu lat postuluje się </w:t>
      </w:r>
      <w:r w:rsidR="00D35087" w:rsidRPr="006B6E7E">
        <w:rPr>
          <w:rFonts w:asciiTheme="majorHAnsi" w:hAnsiTheme="majorHAnsi" w:cs="Arial"/>
          <w:sz w:val="24"/>
          <w:szCs w:val="28"/>
        </w:rPr>
        <w:t xml:space="preserve">głównie </w:t>
      </w:r>
      <w:r w:rsidRPr="006B6E7E">
        <w:rPr>
          <w:rFonts w:asciiTheme="majorHAnsi" w:hAnsiTheme="majorHAnsi" w:cs="Arial"/>
          <w:sz w:val="24"/>
          <w:szCs w:val="28"/>
        </w:rPr>
        <w:t>w doktrynie rozszerzenie katalogu przyczyn nienawiści, które przenoszą zachowania z grupy przestępstw prywatnoskargowych w zakres skargi publicznej i, obowiązującej prokuratorów zasady legalizmu.</w:t>
      </w:r>
    </w:p>
    <w:p w:rsidR="00E43728" w:rsidRPr="006B6E7E" w:rsidRDefault="00E43728" w:rsidP="006B6E7E">
      <w:pPr>
        <w:spacing w:after="0" w:line="360" w:lineRule="auto"/>
        <w:jc w:val="both"/>
        <w:rPr>
          <w:rFonts w:asciiTheme="majorHAnsi" w:hAnsiTheme="majorHAnsi" w:cs="Arial"/>
          <w:sz w:val="24"/>
          <w:szCs w:val="28"/>
        </w:rPr>
      </w:pPr>
      <w:r w:rsidRPr="006B6E7E">
        <w:rPr>
          <w:rFonts w:asciiTheme="majorHAnsi" w:hAnsiTheme="majorHAnsi" w:cs="Arial"/>
          <w:sz w:val="24"/>
          <w:szCs w:val="28"/>
        </w:rPr>
        <w:t>Zmieniający się w rzeczywistości społeczne</w:t>
      </w:r>
      <w:r w:rsidR="004D3EDA" w:rsidRPr="006B6E7E">
        <w:rPr>
          <w:rFonts w:asciiTheme="majorHAnsi" w:hAnsiTheme="majorHAnsi" w:cs="Arial"/>
          <w:sz w:val="24"/>
          <w:szCs w:val="28"/>
        </w:rPr>
        <w:t>j katalog tych przyczyn może też</w:t>
      </w:r>
      <w:r w:rsidRPr="006B6E7E">
        <w:rPr>
          <w:rFonts w:asciiTheme="majorHAnsi" w:hAnsiTheme="majorHAnsi" w:cs="Arial"/>
          <w:sz w:val="24"/>
          <w:szCs w:val="28"/>
        </w:rPr>
        <w:t xml:space="preserve"> uzasadniać otwarcie katalogu i dodanie do niego słowa wskazującego </w:t>
      </w:r>
      <w:r w:rsidR="00CB49C7" w:rsidRPr="006B6E7E">
        <w:rPr>
          <w:rFonts w:asciiTheme="majorHAnsi" w:hAnsiTheme="majorHAnsi" w:cs="Arial"/>
          <w:sz w:val="24"/>
          <w:szCs w:val="28"/>
        </w:rPr>
        <w:t xml:space="preserve">na przykładowość </w:t>
      </w:r>
      <w:r w:rsidRPr="006B6E7E">
        <w:rPr>
          <w:rFonts w:asciiTheme="majorHAnsi" w:hAnsiTheme="majorHAnsi" w:cs="Arial"/>
          <w:sz w:val="24"/>
          <w:szCs w:val="28"/>
        </w:rPr>
        <w:t>wyliczenia, jak „w szczególności” lub „</w:t>
      </w:r>
      <w:r w:rsidR="00CB49C7" w:rsidRPr="006B6E7E">
        <w:rPr>
          <w:rFonts w:asciiTheme="majorHAnsi" w:hAnsiTheme="majorHAnsi" w:cs="Arial"/>
          <w:sz w:val="24"/>
          <w:szCs w:val="28"/>
        </w:rPr>
        <w:t xml:space="preserve">z innych </w:t>
      </w:r>
      <w:r w:rsidRPr="006B6E7E">
        <w:rPr>
          <w:rFonts w:asciiTheme="majorHAnsi" w:hAnsiTheme="majorHAnsi" w:cs="Arial"/>
          <w:sz w:val="24"/>
          <w:szCs w:val="28"/>
        </w:rPr>
        <w:t>podobnych przyczyn”.</w:t>
      </w:r>
    </w:p>
    <w:p w:rsidR="00E076EA" w:rsidRPr="006B6E7E" w:rsidRDefault="00433A04" w:rsidP="006B6E7E">
      <w:pPr>
        <w:spacing w:after="0" w:line="360" w:lineRule="auto"/>
        <w:ind w:firstLine="708"/>
        <w:jc w:val="both"/>
        <w:rPr>
          <w:rFonts w:asciiTheme="majorHAnsi" w:hAnsiTheme="majorHAnsi" w:cs="Arial"/>
          <w:sz w:val="24"/>
          <w:szCs w:val="28"/>
        </w:rPr>
      </w:pPr>
      <w:r w:rsidRPr="006B6E7E">
        <w:rPr>
          <w:rFonts w:asciiTheme="majorHAnsi" w:hAnsiTheme="majorHAnsi" w:cs="Arial"/>
          <w:sz w:val="24"/>
          <w:szCs w:val="28"/>
        </w:rPr>
        <w:t>Z</w:t>
      </w:r>
      <w:r w:rsidR="00CB49C7" w:rsidRPr="006B6E7E">
        <w:rPr>
          <w:rFonts w:asciiTheme="majorHAnsi" w:hAnsiTheme="majorHAnsi" w:cs="Arial"/>
          <w:sz w:val="24"/>
          <w:szCs w:val="28"/>
        </w:rPr>
        <w:t>godnie z przyjętą za Biurem Instytucji Demokr</w:t>
      </w:r>
      <w:r w:rsidR="004D3EDA" w:rsidRPr="006B6E7E">
        <w:rPr>
          <w:rFonts w:asciiTheme="majorHAnsi" w:hAnsiTheme="majorHAnsi" w:cs="Arial"/>
          <w:sz w:val="24"/>
          <w:szCs w:val="28"/>
        </w:rPr>
        <w:t>atycznych i Praw Człowieka OBWE</w:t>
      </w:r>
      <w:r w:rsidR="00CB49C7" w:rsidRPr="006B6E7E">
        <w:rPr>
          <w:rFonts w:asciiTheme="majorHAnsi" w:hAnsiTheme="majorHAnsi" w:cs="Arial"/>
          <w:sz w:val="24"/>
          <w:szCs w:val="28"/>
        </w:rPr>
        <w:t xml:space="preserve">, </w:t>
      </w:r>
      <w:r w:rsidRPr="006B6E7E">
        <w:rPr>
          <w:rFonts w:asciiTheme="majorHAnsi" w:hAnsiTheme="majorHAnsi" w:cs="Arial"/>
          <w:sz w:val="24"/>
          <w:szCs w:val="28"/>
        </w:rPr>
        <w:t xml:space="preserve">zdecydowaliśmy </w:t>
      </w:r>
      <w:r w:rsidR="00E076EA" w:rsidRPr="006B6E7E">
        <w:rPr>
          <w:rFonts w:asciiTheme="majorHAnsi" w:hAnsiTheme="majorHAnsi" w:cs="Arial"/>
          <w:sz w:val="24"/>
          <w:szCs w:val="28"/>
        </w:rPr>
        <w:t xml:space="preserve">się </w:t>
      </w:r>
      <w:r w:rsidR="004D3EDA" w:rsidRPr="006B6E7E">
        <w:rPr>
          <w:rFonts w:asciiTheme="majorHAnsi" w:hAnsiTheme="majorHAnsi" w:cs="Arial"/>
          <w:sz w:val="24"/>
          <w:szCs w:val="28"/>
        </w:rPr>
        <w:t>przyjąć szeroki</w:t>
      </w:r>
      <w:r w:rsidR="00CB49C7" w:rsidRPr="006B6E7E">
        <w:rPr>
          <w:rFonts w:asciiTheme="majorHAnsi" w:hAnsiTheme="majorHAnsi" w:cs="Arial"/>
          <w:sz w:val="24"/>
          <w:szCs w:val="28"/>
        </w:rPr>
        <w:t xml:space="preserve"> zakres okoliczności związanych z motywacją sprawcy, jako uzasadnienie uznania czyn</w:t>
      </w:r>
      <w:r w:rsidR="00D35087" w:rsidRPr="006B6E7E">
        <w:rPr>
          <w:rFonts w:asciiTheme="majorHAnsi" w:hAnsiTheme="majorHAnsi" w:cs="Arial"/>
          <w:sz w:val="24"/>
          <w:szCs w:val="28"/>
        </w:rPr>
        <w:t>u za powodowany</w:t>
      </w:r>
      <w:r w:rsidR="004D3EDA" w:rsidRPr="006B6E7E">
        <w:rPr>
          <w:rFonts w:asciiTheme="majorHAnsi" w:hAnsiTheme="majorHAnsi" w:cs="Arial"/>
          <w:sz w:val="24"/>
          <w:szCs w:val="28"/>
        </w:rPr>
        <w:t xml:space="preserve"> nienawiścią.</w:t>
      </w:r>
      <w:r w:rsidR="00CB49C7" w:rsidRPr="006B6E7E">
        <w:rPr>
          <w:rFonts w:asciiTheme="majorHAnsi" w:hAnsiTheme="majorHAnsi" w:cs="Arial"/>
          <w:sz w:val="24"/>
          <w:szCs w:val="28"/>
        </w:rPr>
        <w:t xml:space="preserve"> Szczeg</w:t>
      </w:r>
      <w:r w:rsidR="004D3EDA" w:rsidRPr="006B6E7E">
        <w:rPr>
          <w:rFonts w:asciiTheme="majorHAnsi" w:hAnsiTheme="majorHAnsi" w:cs="Arial"/>
          <w:sz w:val="24"/>
          <w:szCs w:val="28"/>
        </w:rPr>
        <w:t>ólnie za takie motywy uznaliśmy</w:t>
      </w:r>
      <w:r w:rsidR="00CB49C7" w:rsidRPr="006B6E7E">
        <w:rPr>
          <w:rFonts w:asciiTheme="majorHAnsi" w:hAnsiTheme="majorHAnsi" w:cs="Arial"/>
          <w:sz w:val="24"/>
          <w:szCs w:val="28"/>
        </w:rPr>
        <w:t>: podeszły wiek, widoczne kalectwo lub niepełnosprawność intelektualną, orientację</w:t>
      </w:r>
      <w:r w:rsidR="004D3EDA" w:rsidRPr="006B6E7E">
        <w:rPr>
          <w:rFonts w:asciiTheme="majorHAnsi" w:hAnsiTheme="majorHAnsi" w:cs="Arial"/>
          <w:sz w:val="24"/>
          <w:szCs w:val="28"/>
        </w:rPr>
        <w:t xml:space="preserve"> seksualną, ubóstwo, bezdomność</w:t>
      </w:r>
      <w:r w:rsidR="00CB49C7" w:rsidRPr="006B6E7E">
        <w:rPr>
          <w:rFonts w:asciiTheme="majorHAnsi" w:hAnsiTheme="majorHAnsi" w:cs="Arial"/>
          <w:sz w:val="24"/>
          <w:szCs w:val="28"/>
        </w:rPr>
        <w:t xml:space="preserve"> i inne wyróżniające cechy w mniemaniu sprawcy pozwalają</w:t>
      </w:r>
      <w:r w:rsidR="004D3EDA" w:rsidRPr="006B6E7E">
        <w:rPr>
          <w:rFonts w:asciiTheme="majorHAnsi" w:hAnsiTheme="majorHAnsi" w:cs="Arial"/>
          <w:sz w:val="24"/>
          <w:szCs w:val="28"/>
        </w:rPr>
        <w:t xml:space="preserve">ce zaliczyć osobę do kategorii </w:t>
      </w:r>
      <w:r w:rsidR="00D35087" w:rsidRPr="006B6E7E">
        <w:rPr>
          <w:rFonts w:asciiTheme="majorHAnsi" w:hAnsiTheme="majorHAnsi" w:cs="Arial"/>
          <w:sz w:val="24"/>
          <w:szCs w:val="28"/>
        </w:rPr>
        <w:t xml:space="preserve">„gorszych” przy </w:t>
      </w:r>
      <w:r w:rsidR="00736F08" w:rsidRPr="006B6E7E">
        <w:rPr>
          <w:rFonts w:asciiTheme="majorHAnsi" w:hAnsiTheme="majorHAnsi" w:cs="Arial"/>
          <w:sz w:val="24"/>
          <w:szCs w:val="28"/>
        </w:rPr>
        <w:t>założeniu, że</w:t>
      </w:r>
      <w:r w:rsidR="00D35087" w:rsidRPr="006B6E7E">
        <w:rPr>
          <w:rFonts w:asciiTheme="majorHAnsi" w:hAnsiTheme="majorHAnsi" w:cs="Arial"/>
          <w:sz w:val="24"/>
          <w:szCs w:val="28"/>
        </w:rPr>
        <w:t xml:space="preserve"> z opisu w sposób jasny lub chociażby dorozumiany w stopniu wysokim wynika, że zaistniało przestępstwo i ta specyficzna cecha stanowiła jego tło.</w:t>
      </w:r>
      <w:r w:rsidR="00E076EA" w:rsidRPr="006B6E7E">
        <w:rPr>
          <w:rFonts w:asciiTheme="majorHAnsi" w:hAnsiTheme="majorHAnsi" w:cs="Arial"/>
          <w:sz w:val="24"/>
          <w:szCs w:val="28"/>
        </w:rPr>
        <w:t xml:space="preserve"> </w:t>
      </w:r>
    </w:p>
    <w:p w:rsidR="00E43728" w:rsidRPr="006B6E7E" w:rsidRDefault="00CB49C7" w:rsidP="006B6E7E">
      <w:pPr>
        <w:spacing w:after="0" w:line="360" w:lineRule="auto"/>
        <w:ind w:firstLine="708"/>
        <w:jc w:val="both"/>
        <w:rPr>
          <w:rFonts w:asciiTheme="majorHAnsi" w:hAnsiTheme="majorHAnsi" w:cs="Arial"/>
          <w:sz w:val="24"/>
          <w:szCs w:val="28"/>
        </w:rPr>
      </w:pPr>
      <w:r w:rsidRPr="006B6E7E">
        <w:rPr>
          <w:rFonts w:asciiTheme="majorHAnsi" w:hAnsiTheme="majorHAnsi" w:cs="Arial"/>
          <w:sz w:val="24"/>
          <w:szCs w:val="28"/>
        </w:rPr>
        <w:t>Przy ocenie przesłanych rekordów dodatkow</w:t>
      </w:r>
      <w:r w:rsidR="00433A04" w:rsidRPr="006B6E7E">
        <w:rPr>
          <w:rFonts w:asciiTheme="majorHAnsi" w:hAnsiTheme="majorHAnsi" w:cs="Arial"/>
          <w:sz w:val="24"/>
          <w:szCs w:val="28"/>
        </w:rPr>
        <w:t>ą</w:t>
      </w:r>
      <w:r w:rsidRPr="006B6E7E">
        <w:rPr>
          <w:rFonts w:asciiTheme="majorHAnsi" w:hAnsiTheme="majorHAnsi" w:cs="Arial"/>
          <w:sz w:val="24"/>
          <w:szCs w:val="28"/>
        </w:rPr>
        <w:t xml:space="preserve"> trudność stanowił niekiedy dalece niewystarczający opis zdarzenia. Byliśmy wówczas zdani na pewną intuicyjność oceny, zarówno tego, czy zdarzenie mogłoby być uznane za przestępne, jak i motywów kierujących sprawcą. Przy wahaniach, wynikających z powyżej wskazanych powodów uznawaliśmy, że rekord należy zaliczyć do tych, w</w:t>
      </w:r>
      <w:r w:rsidR="00433A04" w:rsidRPr="006B6E7E">
        <w:rPr>
          <w:rFonts w:asciiTheme="majorHAnsi" w:hAnsiTheme="majorHAnsi" w:cs="Arial"/>
          <w:sz w:val="24"/>
          <w:szCs w:val="28"/>
        </w:rPr>
        <w:t xml:space="preserve"> których przyjmujemy motywację </w:t>
      </w:r>
      <w:r w:rsidRPr="006B6E7E">
        <w:rPr>
          <w:rFonts w:asciiTheme="majorHAnsi" w:hAnsiTheme="majorHAnsi" w:cs="Arial"/>
          <w:sz w:val="24"/>
          <w:szCs w:val="28"/>
        </w:rPr>
        <w:t xml:space="preserve">związaną z uprzedzeniami (nienawiścią) do określonej grupy. </w:t>
      </w:r>
      <w:r w:rsidR="00736F08" w:rsidRPr="006B6E7E">
        <w:rPr>
          <w:rFonts w:asciiTheme="majorHAnsi" w:hAnsiTheme="majorHAnsi" w:cs="Arial"/>
          <w:sz w:val="24"/>
          <w:szCs w:val="28"/>
        </w:rPr>
        <w:t>Takim wypadkiem jest przykład nr ref. 254, w którym wskazano na porysowanie samochodu, która to czynność sama w sobie może wypełniać w zależności od wartości uszkodzenia (brak tej informacji w opisie) znamiona wykroczenia z art. 124 k.w. lub przestępstwa z art. 288 k.k. W opisie wskazano „przypuszczam, ż porysowały mi samochód osoby nie lubiące Romów”, „są to tzw. narodowcy” jednak nie wiemy, czy w rzeczywistości ankietowany opisujący tę sytuację jest Romem, czy osoby, które dokonywały tego czynu o tym wiedziały i czy w rzeczywistości zdarzenie to można określić mianem „zwykłego” wandalizmu, czy też zdarzeniem motywowanym nienawiścią do określonej grupy, w tym wypadku romskiej.</w:t>
      </w:r>
    </w:p>
    <w:p w:rsidR="00736F08" w:rsidRPr="006B6E7E" w:rsidRDefault="00736F08" w:rsidP="006B6E7E">
      <w:pPr>
        <w:spacing w:after="0" w:line="360" w:lineRule="auto"/>
        <w:ind w:firstLine="708"/>
        <w:jc w:val="both"/>
        <w:rPr>
          <w:rFonts w:asciiTheme="majorHAnsi" w:hAnsiTheme="majorHAnsi" w:cs="Arial"/>
          <w:sz w:val="24"/>
          <w:szCs w:val="28"/>
        </w:rPr>
      </w:pPr>
    </w:p>
    <w:p w:rsidR="00E076EA" w:rsidRPr="006B6E7E" w:rsidRDefault="00E076EA" w:rsidP="006B6E7E">
      <w:pPr>
        <w:spacing w:after="0" w:line="360" w:lineRule="auto"/>
        <w:jc w:val="both"/>
        <w:rPr>
          <w:rFonts w:asciiTheme="majorHAnsi" w:hAnsiTheme="majorHAnsi" w:cs="Arial"/>
          <w:sz w:val="24"/>
          <w:szCs w:val="28"/>
        </w:rPr>
      </w:pPr>
      <w:r w:rsidRPr="006B6E7E">
        <w:rPr>
          <w:rFonts w:asciiTheme="majorHAnsi" w:hAnsiTheme="majorHAnsi" w:cs="Arial"/>
          <w:sz w:val="24"/>
          <w:szCs w:val="28"/>
        </w:rPr>
        <w:lastRenderedPageBreak/>
        <w:t xml:space="preserve">Niemniej w kategoriach przekazanych nam do analizy znajdują się opisy zdarzeń (por. </w:t>
      </w:r>
      <w:r w:rsidR="00736F08" w:rsidRPr="006B6E7E">
        <w:rPr>
          <w:rFonts w:asciiTheme="majorHAnsi" w:hAnsiTheme="majorHAnsi" w:cs="Arial"/>
          <w:sz w:val="24"/>
          <w:szCs w:val="28"/>
        </w:rPr>
        <w:t xml:space="preserve">m.in. </w:t>
      </w:r>
      <w:r w:rsidRPr="006B6E7E">
        <w:rPr>
          <w:rFonts w:asciiTheme="majorHAnsi" w:hAnsiTheme="majorHAnsi" w:cs="Arial"/>
          <w:sz w:val="24"/>
          <w:szCs w:val="28"/>
        </w:rPr>
        <w:t xml:space="preserve">nr ref. </w:t>
      </w:r>
      <w:r w:rsidR="00736F08" w:rsidRPr="006B6E7E">
        <w:rPr>
          <w:rFonts w:asciiTheme="majorHAnsi" w:hAnsiTheme="majorHAnsi" w:cs="Arial"/>
          <w:sz w:val="24"/>
          <w:szCs w:val="28"/>
        </w:rPr>
        <w:t xml:space="preserve">222, </w:t>
      </w:r>
      <w:r w:rsidRPr="006B6E7E">
        <w:rPr>
          <w:rFonts w:asciiTheme="majorHAnsi" w:hAnsiTheme="majorHAnsi" w:cs="Arial"/>
          <w:sz w:val="24"/>
          <w:szCs w:val="28"/>
        </w:rPr>
        <w:t xml:space="preserve">625, 632), które nawet nie spełniają kryteriów odnoszących się do przestępstwa, a stanowią zwykłą sąsiedzką sprzeczkę, czy kłótnię, elementy uszkodzenia rzeczy bez wskazania wartości, co nie pozwala na </w:t>
      </w:r>
      <w:r w:rsidR="00413262" w:rsidRPr="006B6E7E">
        <w:rPr>
          <w:rFonts w:asciiTheme="majorHAnsi" w:hAnsiTheme="majorHAnsi" w:cs="Arial"/>
          <w:sz w:val="24"/>
          <w:szCs w:val="28"/>
        </w:rPr>
        <w:t>zakwalifikowanie, jako</w:t>
      </w:r>
      <w:r w:rsidRPr="006B6E7E">
        <w:rPr>
          <w:rFonts w:asciiTheme="majorHAnsi" w:hAnsiTheme="majorHAnsi" w:cs="Arial"/>
          <w:sz w:val="24"/>
          <w:szCs w:val="28"/>
        </w:rPr>
        <w:t xml:space="preserve"> przestępstwo </w:t>
      </w:r>
      <w:r w:rsidR="00413262" w:rsidRPr="006B6E7E">
        <w:rPr>
          <w:rFonts w:asciiTheme="majorHAnsi" w:hAnsiTheme="majorHAnsi" w:cs="Arial"/>
          <w:sz w:val="24"/>
          <w:szCs w:val="28"/>
        </w:rPr>
        <w:t>czy wykroczenie</w:t>
      </w:r>
      <w:r w:rsidRPr="006B6E7E">
        <w:rPr>
          <w:rFonts w:asciiTheme="majorHAnsi" w:hAnsiTheme="majorHAnsi" w:cs="Arial"/>
          <w:sz w:val="24"/>
          <w:szCs w:val="28"/>
        </w:rPr>
        <w:t xml:space="preserve">. Nie można oczywiście wykluczyć, że w dalszym opisie </w:t>
      </w:r>
      <w:r w:rsidR="00413262" w:rsidRPr="006B6E7E">
        <w:rPr>
          <w:rFonts w:asciiTheme="majorHAnsi" w:hAnsiTheme="majorHAnsi" w:cs="Arial"/>
          <w:sz w:val="24"/>
          <w:szCs w:val="28"/>
        </w:rPr>
        <w:t>mogłoby</w:t>
      </w:r>
      <w:r w:rsidRPr="006B6E7E">
        <w:rPr>
          <w:rFonts w:asciiTheme="majorHAnsi" w:hAnsiTheme="majorHAnsi" w:cs="Arial"/>
          <w:sz w:val="24"/>
          <w:szCs w:val="28"/>
        </w:rPr>
        <w:t xml:space="preserve"> się znaleźć </w:t>
      </w:r>
      <w:r w:rsidR="00413262" w:rsidRPr="006B6E7E">
        <w:rPr>
          <w:rFonts w:asciiTheme="majorHAnsi" w:hAnsiTheme="majorHAnsi" w:cs="Arial"/>
          <w:sz w:val="24"/>
          <w:szCs w:val="28"/>
        </w:rPr>
        <w:t xml:space="preserve">doprecyzowanie, czy opis </w:t>
      </w:r>
      <w:r w:rsidRPr="006B6E7E">
        <w:rPr>
          <w:rFonts w:asciiTheme="majorHAnsi" w:hAnsiTheme="majorHAnsi" w:cs="Arial"/>
          <w:sz w:val="24"/>
          <w:szCs w:val="28"/>
        </w:rPr>
        <w:t>wskazujący na popełnienie przestępstwa jednak nawet w sposób dorozumiany nie można w tym wypadku tego analizować.</w:t>
      </w:r>
    </w:p>
    <w:p w:rsidR="006B6E7E" w:rsidRPr="006B6E7E" w:rsidRDefault="006B6E7E" w:rsidP="006B6E7E">
      <w:pPr>
        <w:pStyle w:val="m-5421741555726062815p1"/>
        <w:shd w:val="clear" w:color="auto" w:fill="FFFFFF"/>
        <w:spacing w:before="0" w:beforeAutospacing="0" w:after="0" w:afterAutospacing="0" w:line="360" w:lineRule="auto"/>
        <w:rPr>
          <w:rFonts w:asciiTheme="majorHAnsi" w:eastAsiaTheme="minorHAnsi" w:hAnsiTheme="majorHAnsi" w:cs="Arial"/>
          <w:szCs w:val="28"/>
          <w:lang w:eastAsia="en-US"/>
        </w:rPr>
      </w:pPr>
    </w:p>
    <w:p w:rsidR="006B6E7E" w:rsidRPr="006B6E7E" w:rsidRDefault="006B6E7E" w:rsidP="006B6E7E">
      <w:pPr>
        <w:pStyle w:val="m-5421741555726062815p1"/>
        <w:numPr>
          <w:ilvl w:val="0"/>
          <w:numId w:val="2"/>
        </w:numPr>
        <w:shd w:val="clear" w:color="auto" w:fill="FFFFFF"/>
        <w:spacing w:before="0" w:beforeAutospacing="0" w:after="0" w:afterAutospacing="0" w:line="360" w:lineRule="auto"/>
        <w:rPr>
          <w:rStyle w:val="m-5421741555726062815s1"/>
          <w:rFonts w:asciiTheme="majorHAnsi" w:hAnsiTheme="majorHAnsi" w:cs="Arial"/>
          <w:b/>
          <w:color w:val="222222"/>
        </w:rPr>
      </w:pPr>
      <w:r w:rsidRPr="006B6E7E">
        <w:rPr>
          <w:rStyle w:val="m-5421741555726062815s1"/>
          <w:rFonts w:asciiTheme="majorHAnsi" w:hAnsiTheme="majorHAnsi" w:cs="Arial"/>
          <w:b/>
          <w:color w:val="222222"/>
        </w:rPr>
        <w:t xml:space="preserve">Komentarz do zestawu rekordów – </w:t>
      </w:r>
      <w:r>
        <w:rPr>
          <w:rStyle w:val="m-5421741555726062815s1"/>
          <w:rFonts w:asciiTheme="majorHAnsi" w:hAnsiTheme="majorHAnsi" w:cs="Arial"/>
          <w:b/>
          <w:color w:val="222222"/>
        </w:rPr>
        <w:t xml:space="preserve">w ujęciu </w:t>
      </w:r>
      <w:r w:rsidRPr="006B6E7E">
        <w:rPr>
          <w:rStyle w:val="m-5421741555726062815s1"/>
          <w:rFonts w:asciiTheme="majorHAnsi" w:hAnsiTheme="majorHAnsi" w:cs="Arial"/>
          <w:b/>
          <w:color w:val="222222"/>
        </w:rPr>
        <w:t>zdarze</w:t>
      </w:r>
      <w:r>
        <w:rPr>
          <w:rStyle w:val="m-5421741555726062815s1"/>
          <w:rFonts w:asciiTheme="majorHAnsi" w:hAnsiTheme="majorHAnsi" w:cs="Arial"/>
          <w:b/>
          <w:color w:val="222222"/>
        </w:rPr>
        <w:t>ń</w:t>
      </w:r>
      <w:r w:rsidRPr="006B6E7E">
        <w:rPr>
          <w:rStyle w:val="m-5421741555726062815s1"/>
          <w:rFonts w:asciiTheme="majorHAnsi" w:hAnsiTheme="majorHAnsi" w:cs="Arial"/>
          <w:b/>
          <w:color w:val="222222"/>
        </w:rPr>
        <w:t xml:space="preserve"> niewypełniających znamion motywacji dyskryminacyjnej</w:t>
      </w:r>
    </w:p>
    <w:p w:rsidR="006B6E7E" w:rsidRPr="006B6E7E" w:rsidRDefault="006B6E7E" w:rsidP="006B6E7E">
      <w:pPr>
        <w:pStyle w:val="m-5421741555726062815p1"/>
        <w:shd w:val="clear" w:color="auto" w:fill="FFFFFF"/>
        <w:spacing w:before="0" w:beforeAutospacing="0" w:after="0" w:afterAutospacing="0" w:line="360" w:lineRule="auto"/>
        <w:jc w:val="both"/>
        <w:rPr>
          <w:rFonts w:asciiTheme="majorHAnsi" w:hAnsiTheme="majorHAnsi" w:cs="Arial"/>
          <w:color w:val="222222"/>
        </w:rPr>
      </w:pPr>
    </w:p>
    <w:p w:rsidR="006B6E7E" w:rsidRPr="006B6E7E" w:rsidRDefault="006B6E7E" w:rsidP="006B6E7E">
      <w:pPr>
        <w:pStyle w:val="m-5421741555726062815p2"/>
        <w:shd w:val="clear" w:color="auto" w:fill="FFFFFF"/>
        <w:spacing w:before="0" w:beforeAutospacing="0" w:after="0" w:afterAutospacing="0" w:line="360" w:lineRule="auto"/>
        <w:ind w:firstLine="708"/>
        <w:jc w:val="both"/>
        <w:rPr>
          <w:rStyle w:val="m-5421741555726062815s2"/>
          <w:rFonts w:asciiTheme="majorHAnsi" w:hAnsiTheme="majorHAnsi" w:cs="Arial"/>
          <w:color w:val="222222"/>
        </w:rPr>
      </w:pPr>
      <w:r w:rsidRPr="006B6E7E">
        <w:rPr>
          <w:rStyle w:val="m-5421741555726062815s2"/>
          <w:rFonts w:asciiTheme="majorHAnsi" w:hAnsiTheme="majorHAnsi" w:cs="Arial"/>
          <w:color w:val="222222"/>
        </w:rPr>
        <w:t>Przy opracowywaniu przedstawionych rekordów braliśmy pod uwagę różne</w:t>
      </w:r>
      <w:r w:rsidRPr="006B6E7E">
        <w:rPr>
          <w:rStyle w:val="m-5421741555726062815apple-converted-space"/>
          <w:rFonts w:asciiTheme="majorHAnsi" w:hAnsiTheme="majorHAnsi" w:cs="Arial"/>
          <w:color w:val="222222"/>
        </w:rPr>
        <w:t> </w:t>
      </w:r>
      <w:r w:rsidRPr="006B6E7E">
        <w:rPr>
          <w:rStyle w:val="apple-converted-space"/>
          <w:rFonts w:asciiTheme="majorHAnsi" w:hAnsiTheme="majorHAnsi" w:cs="Arial"/>
          <w:color w:val="222222"/>
        </w:rPr>
        <w:t xml:space="preserve"> dostępne </w:t>
      </w:r>
      <w:r w:rsidRPr="006B6E7E">
        <w:rPr>
          <w:rStyle w:val="m-5421741555726062815s2"/>
          <w:rFonts w:asciiTheme="majorHAnsi" w:hAnsiTheme="majorHAnsi" w:cs="Arial"/>
          <w:color w:val="222222"/>
        </w:rPr>
        <w:t xml:space="preserve">kryteria dyskryminacji. Przede wszystkim skupialiśmy się na tych, które wymienione zostały w stosownych przepisach prawa. Podstawowym przepisem karnym w zakresie kryteriów dyskryminacji jest art. 257 k.k.: </w:t>
      </w:r>
    </w:p>
    <w:p w:rsidR="006B6E7E" w:rsidRPr="006B6E7E" w:rsidRDefault="006B6E7E" w:rsidP="006B6E7E">
      <w:pPr>
        <w:spacing w:after="0" w:line="360" w:lineRule="auto"/>
        <w:jc w:val="both"/>
        <w:rPr>
          <w:rFonts w:asciiTheme="majorHAnsi" w:eastAsia="Times New Roman" w:hAnsiTheme="majorHAnsi" w:cs="Tahoma"/>
          <w:i/>
          <w:color w:val="000000"/>
          <w:sz w:val="24"/>
          <w:szCs w:val="24"/>
          <w:lang w:eastAsia="pl-PL"/>
        </w:rPr>
      </w:pPr>
      <w:r w:rsidRPr="006B6E7E">
        <w:rPr>
          <w:rFonts w:asciiTheme="majorHAnsi" w:eastAsia="Times New Roman" w:hAnsiTheme="majorHAnsi" w:cs="Tahoma"/>
          <w:i/>
          <w:color w:val="000000"/>
          <w:sz w:val="24"/>
          <w:szCs w:val="24"/>
          <w:lang w:eastAsia="pl-PL"/>
        </w:rPr>
        <w:t>„Kto publicznie znieważa grupę ludności albo poszczególną osobę z powodu jej przynależności narodowej, etnicznej, rasowej, wyznaniowej albo z powodu jej bezwyznaniowości lub z takich powodów narusza nietykalność cielesną innej osoby,</w:t>
      </w:r>
    </w:p>
    <w:p w:rsidR="006B6E7E" w:rsidRPr="006B6E7E" w:rsidRDefault="006B6E7E" w:rsidP="006B6E7E">
      <w:pPr>
        <w:spacing w:after="0" w:line="360" w:lineRule="auto"/>
        <w:jc w:val="both"/>
        <w:rPr>
          <w:rFonts w:asciiTheme="majorHAnsi" w:eastAsia="Times New Roman" w:hAnsiTheme="majorHAnsi" w:cs="Tahoma"/>
          <w:i/>
          <w:color w:val="000000"/>
          <w:sz w:val="24"/>
          <w:szCs w:val="24"/>
          <w:lang w:eastAsia="pl-PL"/>
        </w:rPr>
      </w:pPr>
      <w:r w:rsidRPr="006B6E7E">
        <w:rPr>
          <w:rFonts w:asciiTheme="majorHAnsi" w:eastAsia="Times New Roman" w:hAnsiTheme="majorHAnsi" w:cs="Tahoma"/>
          <w:i/>
          <w:color w:val="000000"/>
          <w:sz w:val="24"/>
          <w:szCs w:val="24"/>
          <w:lang w:eastAsia="pl-PL"/>
        </w:rPr>
        <w:t>podlega karze pozbawienia wolności do lat 3”.</w:t>
      </w:r>
    </w:p>
    <w:p w:rsidR="006B6E7E" w:rsidRPr="006B6E7E" w:rsidRDefault="006B6E7E" w:rsidP="006B6E7E">
      <w:pPr>
        <w:pStyle w:val="m-5421741555726062815p2"/>
        <w:shd w:val="clear" w:color="auto" w:fill="FFFFFF"/>
        <w:spacing w:before="0" w:beforeAutospacing="0" w:after="0" w:afterAutospacing="0" w:line="360" w:lineRule="auto"/>
        <w:jc w:val="both"/>
        <w:rPr>
          <w:rStyle w:val="m-5421741555726062815s2"/>
          <w:rFonts w:asciiTheme="majorHAnsi" w:hAnsiTheme="majorHAnsi" w:cs="Arial"/>
          <w:color w:val="222222"/>
        </w:rPr>
      </w:pPr>
      <w:r w:rsidRPr="006B6E7E">
        <w:rPr>
          <w:rStyle w:val="m-5421741555726062815s2"/>
          <w:rFonts w:asciiTheme="majorHAnsi" w:hAnsiTheme="majorHAnsi" w:cs="Arial"/>
          <w:color w:val="222222"/>
        </w:rPr>
        <w:t>W przepisie tym wskazano okoliczności, które, gdy pojawiają się w inkryminowanym</w:t>
      </w:r>
      <w:r w:rsidRPr="006B6E7E">
        <w:rPr>
          <w:rStyle w:val="m-5421741555726062815apple-converted-space"/>
          <w:rFonts w:asciiTheme="majorHAnsi" w:hAnsiTheme="majorHAnsi" w:cs="Arial"/>
          <w:color w:val="222222"/>
        </w:rPr>
        <w:t> </w:t>
      </w:r>
      <w:r w:rsidRPr="006B6E7E">
        <w:rPr>
          <w:rStyle w:val="apple-converted-space"/>
          <w:rFonts w:asciiTheme="majorHAnsi" w:hAnsiTheme="majorHAnsi" w:cs="Arial"/>
          <w:color w:val="222222"/>
        </w:rPr>
        <w:t> </w:t>
      </w:r>
      <w:r w:rsidRPr="006B6E7E">
        <w:rPr>
          <w:rStyle w:val="m-5421741555726062815s2"/>
          <w:rFonts w:asciiTheme="majorHAnsi" w:hAnsiTheme="majorHAnsi" w:cs="Arial"/>
          <w:color w:val="222222"/>
        </w:rPr>
        <w:t xml:space="preserve">zdarzeniu, przenoszą przypadek z grupy zniewag prywatnoskargowych do zniewag ściganych skargą publiczną. Wymienia się tu następujące okoliczności: przynależność narodową, przynależność etniczną, zaliczenie do odpowiedniej rasy, wyznanie lub bezwyznaniowość. </w:t>
      </w:r>
    </w:p>
    <w:p w:rsidR="006B6E7E" w:rsidRPr="006B6E7E" w:rsidRDefault="006B6E7E" w:rsidP="006B6E7E">
      <w:pPr>
        <w:pStyle w:val="m-5421741555726062815p2"/>
        <w:shd w:val="clear" w:color="auto" w:fill="FFFFFF"/>
        <w:spacing w:before="0" w:beforeAutospacing="0" w:after="0" w:afterAutospacing="0" w:line="360" w:lineRule="auto"/>
        <w:ind w:firstLine="708"/>
        <w:jc w:val="both"/>
        <w:rPr>
          <w:rFonts w:asciiTheme="majorHAnsi" w:hAnsiTheme="majorHAnsi" w:cs="Arial"/>
          <w:color w:val="222222"/>
        </w:rPr>
      </w:pPr>
      <w:r w:rsidRPr="006B6E7E">
        <w:rPr>
          <w:rStyle w:val="m-5421741555726062815s2"/>
          <w:rFonts w:asciiTheme="majorHAnsi" w:hAnsiTheme="majorHAnsi" w:cs="Arial"/>
          <w:color w:val="222222"/>
        </w:rPr>
        <w:t>Warto zwrócić uwagę, że kryteria te, odnoszące się do grupy lub poszczególnej osoby, mają określony rodowód historyczny. Po raz pierwszy zostały w taki sposób wymienione w</w:t>
      </w:r>
      <w:r w:rsidRPr="006B6E7E">
        <w:rPr>
          <w:rFonts w:asciiTheme="majorHAnsi" w:hAnsiTheme="majorHAnsi" w:cs="Arial"/>
        </w:rPr>
        <w:t xml:space="preserve"> Dekrecie z dnia 13 czerwca 1946 r. </w:t>
      </w:r>
      <w:r w:rsidRPr="006B6E7E">
        <w:rPr>
          <w:rFonts w:asciiTheme="majorHAnsi" w:hAnsiTheme="majorHAnsi" w:cs="Arial"/>
          <w:i/>
        </w:rPr>
        <w:t>o przestępstwach szczególnie niebezpiecznych w okresie odbudowy Państwa</w:t>
      </w:r>
      <w:r w:rsidRPr="006B6E7E">
        <w:rPr>
          <w:rFonts w:asciiTheme="majorHAnsi" w:hAnsiTheme="majorHAnsi" w:cs="Arial"/>
        </w:rPr>
        <w:t>, Dz. U. z 1946 r., nr 30, poz. 192 – por. m.in. art. 30 - 32).</w:t>
      </w:r>
      <w:r w:rsidRPr="006B6E7E">
        <w:rPr>
          <w:rStyle w:val="m-5421741555726062815s2"/>
          <w:rFonts w:asciiTheme="majorHAnsi" w:hAnsiTheme="majorHAnsi" w:cs="Arial"/>
          <w:i/>
          <w:color w:val="222222"/>
        </w:rPr>
        <w:t>,</w:t>
      </w:r>
      <w:r w:rsidRPr="006B6E7E">
        <w:rPr>
          <w:rStyle w:val="m-5421741555726062815s2"/>
          <w:rFonts w:asciiTheme="majorHAnsi" w:hAnsiTheme="majorHAnsi" w:cs="Arial"/>
          <w:color w:val="222222"/>
        </w:rPr>
        <w:t xml:space="preserve"> zwanej potocznie małym kodeksem karnym. Stało się tak ze względu na sytuację społeczną, przede wszystkim ciągle po wojnie istniejący antysemityzm, niechęć do Rosjan, reprezentujących „nową władzę”, a także do osób podkreślających swoją bezwyznaniowość, źle widzianych w tradycyjnie katolickim społeczeństwie, a </w:t>
      </w:r>
      <w:r w:rsidRPr="006B6E7E">
        <w:rPr>
          <w:rStyle w:val="m-5421741555726062815s2"/>
          <w:rFonts w:asciiTheme="majorHAnsi" w:hAnsiTheme="majorHAnsi" w:cs="Arial"/>
          <w:color w:val="222222"/>
        </w:rPr>
        <w:lastRenderedPageBreak/>
        <w:t>promowanych przez socjalistyczną władzę. Co ważne, katalog zawarty w znamionach art. 257 k.k. jest zamknięty.</w:t>
      </w:r>
    </w:p>
    <w:p w:rsidR="006B6E7E" w:rsidRPr="006B6E7E" w:rsidRDefault="006B6E7E" w:rsidP="006B6E7E">
      <w:pPr>
        <w:pStyle w:val="m-5421741555726062815p2"/>
        <w:shd w:val="clear" w:color="auto" w:fill="FFFFFF"/>
        <w:spacing w:before="0" w:beforeAutospacing="0" w:after="0" w:afterAutospacing="0" w:line="360" w:lineRule="auto"/>
        <w:jc w:val="both"/>
        <w:rPr>
          <w:rStyle w:val="m-5421741555726062815s2"/>
          <w:rFonts w:asciiTheme="majorHAnsi" w:hAnsiTheme="majorHAnsi" w:cs="Arial"/>
          <w:color w:val="222222"/>
        </w:rPr>
      </w:pPr>
    </w:p>
    <w:p w:rsidR="006B6E7E" w:rsidRPr="006B6E7E" w:rsidRDefault="006B6E7E" w:rsidP="006B6E7E">
      <w:pPr>
        <w:pStyle w:val="m-5421741555726062815p2"/>
        <w:shd w:val="clear" w:color="auto" w:fill="FFFFFF"/>
        <w:spacing w:before="0" w:beforeAutospacing="0" w:after="0" w:afterAutospacing="0" w:line="360" w:lineRule="auto"/>
        <w:ind w:firstLine="708"/>
        <w:jc w:val="both"/>
        <w:rPr>
          <w:rFonts w:asciiTheme="majorHAnsi" w:hAnsiTheme="majorHAnsi" w:cs="Arial"/>
          <w:color w:val="222222"/>
        </w:rPr>
      </w:pPr>
      <w:r w:rsidRPr="006B6E7E">
        <w:rPr>
          <w:rStyle w:val="m-5421741555726062815s2"/>
          <w:rFonts w:asciiTheme="majorHAnsi" w:hAnsiTheme="majorHAnsi" w:cs="Arial"/>
          <w:color w:val="222222"/>
        </w:rPr>
        <w:t>Pozostałe motywy zniewagi nie są karnie istotne w tym sensie, że zdarzenie pozostaje w grupie przestępstw prywatnoskargowych (art. 216 i 217 k.k.).</w:t>
      </w:r>
    </w:p>
    <w:p w:rsidR="006B6E7E" w:rsidRPr="006B6E7E" w:rsidRDefault="006B6E7E" w:rsidP="006B6E7E">
      <w:pPr>
        <w:pStyle w:val="m-5421741555726062815p2"/>
        <w:shd w:val="clear" w:color="auto" w:fill="FFFFFF"/>
        <w:spacing w:before="0" w:beforeAutospacing="0" w:after="0" w:afterAutospacing="0" w:line="360" w:lineRule="auto"/>
        <w:jc w:val="both"/>
        <w:rPr>
          <w:rFonts w:asciiTheme="majorHAnsi" w:hAnsiTheme="majorHAnsi" w:cs="Arial"/>
          <w:color w:val="222222"/>
        </w:rPr>
      </w:pPr>
      <w:r w:rsidRPr="006B6E7E">
        <w:rPr>
          <w:rStyle w:val="m-5421741555726062815s2"/>
          <w:rFonts w:asciiTheme="majorHAnsi" w:hAnsiTheme="majorHAnsi" w:cs="Arial"/>
          <w:color w:val="222222"/>
        </w:rPr>
        <w:t>Warto wskazać, że obecnie nie są to ani najczęściej spotykane ani najniebezpieczniejsze społecznie motywy zniewag grup lub osób czy naruszenia nietykalności cielesnej osoby. Wydaje się, że co najmniej równie często pojawia się motyw homofobiczny, genderowy lub motyw związany z niepełnosprawnością</w:t>
      </w:r>
      <w:r w:rsidRPr="006B6E7E">
        <w:rPr>
          <w:rStyle w:val="m-5421741555726062815apple-converted-space"/>
          <w:rFonts w:asciiTheme="majorHAnsi" w:hAnsiTheme="majorHAnsi" w:cs="Arial"/>
          <w:color w:val="222222"/>
        </w:rPr>
        <w:t> </w:t>
      </w:r>
      <w:r w:rsidRPr="006B6E7E">
        <w:rPr>
          <w:rStyle w:val="apple-converted-space"/>
          <w:rFonts w:asciiTheme="majorHAnsi" w:hAnsiTheme="majorHAnsi" w:cs="Arial"/>
          <w:color w:val="222222"/>
        </w:rPr>
        <w:t> </w:t>
      </w:r>
      <w:r w:rsidRPr="006B6E7E">
        <w:rPr>
          <w:rStyle w:val="m-5421741555726062815s2"/>
          <w:rFonts w:asciiTheme="majorHAnsi" w:hAnsiTheme="majorHAnsi" w:cs="Arial"/>
          <w:color w:val="222222"/>
        </w:rPr>
        <w:t>lub starością. Zniewagi lub naruszenia nietykalności cielesnej z tych motywów pozostają</w:t>
      </w:r>
      <w:r w:rsidRPr="006B6E7E">
        <w:rPr>
          <w:rStyle w:val="m-5421741555726062815apple-converted-space"/>
          <w:rFonts w:asciiTheme="majorHAnsi" w:hAnsiTheme="majorHAnsi" w:cs="Arial"/>
          <w:color w:val="222222"/>
        </w:rPr>
        <w:t> </w:t>
      </w:r>
      <w:r w:rsidRPr="006B6E7E">
        <w:rPr>
          <w:rStyle w:val="apple-converted-space"/>
          <w:rFonts w:asciiTheme="majorHAnsi" w:hAnsiTheme="majorHAnsi" w:cs="Arial"/>
          <w:color w:val="222222"/>
        </w:rPr>
        <w:t> </w:t>
      </w:r>
      <w:r w:rsidRPr="006B6E7E">
        <w:rPr>
          <w:rStyle w:val="m-5421741555726062815s2"/>
          <w:rFonts w:asciiTheme="majorHAnsi" w:hAnsiTheme="majorHAnsi" w:cs="Arial"/>
          <w:color w:val="222222"/>
        </w:rPr>
        <w:t xml:space="preserve">jednak przestępstwami prywatnoskargowymi, a ujawniona motywacja sprawcy może być wzięta pod uwagę przez sąd tylko w ramach ustawowych dyrektyw wymiaru kary. Dyrektywy te zawarte </w:t>
      </w:r>
      <w:r>
        <w:rPr>
          <w:rStyle w:val="m-5421741555726062815s2"/>
          <w:rFonts w:asciiTheme="majorHAnsi" w:hAnsiTheme="majorHAnsi" w:cs="Arial"/>
          <w:color w:val="222222"/>
        </w:rPr>
        <w:t>zostały</w:t>
      </w:r>
      <w:r w:rsidRPr="006B6E7E">
        <w:rPr>
          <w:rStyle w:val="m-5421741555726062815s2"/>
          <w:rFonts w:asciiTheme="majorHAnsi" w:hAnsiTheme="majorHAnsi" w:cs="Arial"/>
          <w:color w:val="222222"/>
        </w:rPr>
        <w:t xml:space="preserve"> w art. 53 k.k., który nakłada na sąd obowiązek uwzględnienia motywacji sprawcy przy wymiarze kary. Nie wskazuje jednak żadnego rodzaju motywacji, jako okoliczności obciążającej. Oznacza to, że na sądzie orzekającym spoczywa obowiązek ustalenia motywacji i uzasadnienia, czy stanowi ona okoliczność obciążającą.</w:t>
      </w:r>
    </w:p>
    <w:p w:rsidR="006B6E7E" w:rsidRPr="006B6E7E" w:rsidRDefault="006B6E7E" w:rsidP="006B6E7E">
      <w:pPr>
        <w:pStyle w:val="m-5421741555726062815p2"/>
        <w:shd w:val="clear" w:color="auto" w:fill="FFFFFF"/>
        <w:spacing w:before="0" w:beforeAutospacing="0" w:after="0" w:afterAutospacing="0" w:line="360" w:lineRule="auto"/>
        <w:ind w:firstLine="708"/>
        <w:jc w:val="both"/>
        <w:rPr>
          <w:rFonts w:asciiTheme="majorHAnsi" w:hAnsiTheme="majorHAnsi" w:cs="Arial"/>
          <w:color w:val="222222"/>
        </w:rPr>
      </w:pPr>
      <w:r w:rsidRPr="006B6E7E">
        <w:rPr>
          <w:rStyle w:val="m-5421741555726062815s2"/>
          <w:rFonts w:asciiTheme="majorHAnsi" w:hAnsiTheme="majorHAnsi" w:cs="Arial"/>
          <w:color w:val="222222"/>
        </w:rPr>
        <w:t>Z natury rzeczy motywacja wynikająca z dyskryminacji ma charakter obciążający. Istotne jest natomiast określenie katalogu takich dyskryminacyjnych motywów. Oczywiście katalog zawarty w art. 257 k.k. nie jest w tym względzie wiążący.</w:t>
      </w:r>
      <w:r w:rsidRPr="006B6E7E">
        <w:rPr>
          <w:rStyle w:val="apple-converted-space"/>
          <w:rFonts w:asciiTheme="majorHAnsi" w:hAnsiTheme="majorHAnsi" w:cs="Arial"/>
          <w:color w:val="222222"/>
        </w:rPr>
        <w:t> </w:t>
      </w:r>
      <w:r w:rsidRPr="006B6E7E">
        <w:rPr>
          <w:rStyle w:val="m-5421741555726062815apple-converted-space"/>
          <w:rFonts w:asciiTheme="majorHAnsi" w:hAnsiTheme="majorHAnsi" w:cs="Arial"/>
          <w:color w:val="222222"/>
        </w:rPr>
        <w:t> </w:t>
      </w:r>
    </w:p>
    <w:p w:rsidR="006B6E7E" w:rsidRPr="006B6E7E" w:rsidRDefault="006B6E7E" w:rsidP="006B6E7E">
      <w:pPr>
        <w:pStyle w:val="m-5421741555726062815p2"/>
        <w:shd w:val="clear" w:color="auto" w:fill="FFFFFF"/>
        <w:spacing w:before="0" w:beforeAutospacing="0" w:after="0" w:afterAutospacing="0" w:line="360" w:lineRule="auto"/>
        <w:jc w:val="both"/>
        <w:rPr>
          <w:rFonts w:asciiTheme="majorHAnsi" w:hAnsiTheme="majorHAnsi" w:cs="Arial"/>
          <w:color w:val="222222"/>
        </w:rPr>
      </w:pPr>
      <w:r w:rsidRPr="006B6E7E">
        <w:rPr>
          <w:rStyle w:val="m-5421741555726062815s2"/>
          <w:rFonts w:asciiTheme="majorHAnsi" w:hAnsiTheme="majorHAnsi" w:cs="Arial"/>
          <w:color w:val="222222"/>
        </w:rPr>
        <w:t>Wskazówek, co stanowić może motyw związany z dyskryminacją, należy szukać poza kodeksem karnym.</w:t>
      </w:r>
    </w:p>
    <w:p w:rsidR="006B6E7E" w:rsidRPr="006B6E7E" w:rsidRDefault="006B6E7E" w:rsidP="006B6E7E">
      <w:pPr>
        <w:spacing w:after="0" w:line="360" w:lineRule="auto"/>
        <w:jc w:val="both"/>
        <w:rPr>
          <w:rFonts w:asciiTheme="majorHAnsi" w:hAnsiTheme="majorHAnsi" w:cs="Arial"/>
          <w:color w:val="222222"/>
          <w:sz w:val="24"/>
          <w:szCs w:val="24"/>
        </w:rPr>
      </w:pPr>
      <w:r w:rsidRPr="006B6E7E">
        <w:rPr>
          <w:rStyle w:val="m-5421741555726062815s2"/>
          <w:rFonts w:asciiTheme="majorHAnsi" w:hAnsiTheme="majorHAnsi" w:cs="Arial"/>
          <w:color w:val="222222"/>
          <w:sz w:val="24"/>
          <w:szCs w:val="24"/>
        </w:rPr>
        <w:t>Kryteria dyskryminacji wymienia w otwartym katalogu Europejska Konwencja o Ochronie Praw</w:t>
      </w:r>
      <w:r w:rsidRPr="006B6E7E">
        <w:rPr>
          <w:rStyle w:val="m-5421741555726062815apple-converted-space"/>
          <w:rFonts w:asciiTheme="majorHAnsi" w:hAnsiTheme="majorHAnsi" w:cs="Arial"/>
          <w:color w:val="222222"/>
          <w:sz w:val="24"/>
          <w:szCs w:val="24"/>
        </w:rPr>
        <w:t> </w:t>
      </w:r>
      <w:r w:rsidRPr="006B6E7E">
        <w:rPr>
          <w:rStyle w:val="apple-converted-space"/>
          <w:rFonts w:asciiTheme="majorHAnsi" w:hAnsiTheme="majorHAnsi" w:cs="Arial"/>
          <w:color w:val="222222"/>
          <w:sz w:val="24"/>
          <w:szCs w:val="24"/>
        </w:rPr>
        <w:t> </w:t>
      </w:r>
      <w:r w:rsidRPr="006B6E7E">
        <w:rPr>
          <w:rStyle w:val="m-5421741555726062815s2"/>
          <w:rFonts w:asciiTheme="majorHAnsi" w:hAnsiTheme="majorHAnsi" w:cs="Arial"/>
          <w:color w:val="222222"/>
          <w:sz w:val="24"/>
          <w:szCs w:val="24"/>
        </w:rPr>
        <w:t xml:space="preserve">Człowieka i Podstawowych Wolności, </w:t>
      </w:r>
      <w:r w:rsidRPr="006B6E7E">
        <w:rPr>
          <w:rFonts w:asciiTheme="majorHAnsi" w:hAnsiTheme="majorHAnsi" w:cs="A"/>
          <w:bCs/>
          <w:sz w:val="24"/>
          <w:szCs w:val="24"/>
        </w:rPr>
        <w:t xml:space="preserve">Dz.U. z 1993 r., nr 61, poz. 284, w której treści </w:t>
      </w:r>
      <w:r w:rsidRPr="006B6E7E">
        <w:rPr>
          <w:rStyle w:val="m-5421741555726062815s2"/>
          <w:rFonts w:asciiTheme="majorHAnsi" w:hAnsiTheme="majorHAnsi" w:cs="Arial"/>
          <w:color w:val="222222"/>
          <w:sz w:val="24"/>
          <w:szCs w:val="24"/>
        </w:rPr>
        <w:t xml:space="preserve"> (art. 14), przywołuje płeć, rasę, kolor skóry, język, religię, przekonania polityczne i inne, pochodzenie narodowe lub społeczne, przynależność do mniejszości narodowej, majątek, urodzenie, bądź jakiekolwiek inne przyczyny.</w:t>
      </w:r>
      <w:r w:rsidRPr="006B6E7E">
        <w:rPr>
          <w:rStyle w:val="m-5421741555726062815apple-converted-space"/>
          <w:rFonts w:asciiTheme="majorHAnsi" w:hAnsiTheme="majorHAnsi" w:cs="Arial"/>
          <w:color w:val="222222"/>
          <w:sz w:val="24"/>
          <w:szCs w:val="24"/>
        </w:rPr>
        <w:t> </w:t>
      </w:r>
    </w:p>
    <w:p w:rsidR="006B6E7E" w:rsidRPr="006B6E7E" w:rsidRDefault="006B6E7E" w:rsidP="006B6E7E">
      <w:pPr>
        <w:pStyle w:val="m-5421741555726062815p2"/>
        <w:shd w:val="clear" w:color="auto" w:fill="FFFFFF"/>
        <w:spacing w:before="0" w:beforeAutospacing="0" w:after="0" w:afterAutospacing="0" w:line="360" w:lineRule="auto"/>
        <w:jc w:val="both"/>
        <w:rPr>
          <w:rFonts w:asciiTheme="majorHAnsi" w:hAnsiTheme="majorHAnsi" w:cs="Arial"/>
          <w:color w:val="222222"/>
        </w:rPr>
      </w:pPr>
      <w:r w:rsidRPr="006B6E7E">
        <w:rPr>
          <w:rStyle w:val="m-5421741555726062815s2"/>
          <w:rFonts w:asciiTheme="majorHAnsi" w:hAnsiTheme="majorHAnsi" w:cs="Arial"/>
          <w:color w:val="222222"/>
        </w:rPr>
        <w:t>Późniejszy chronologicznie otwarty katalog zawarty jest w Karcie Praw Podstawowych Unii Europejskiej (art. 21). Wymienia on</w:t>
      </w:r>
      <w:r w:rsidRPr="006B6E7E">
        <w:rPr>
          <w:rStyle w:val="m-5421741555726062815apple-converted-space"/>
          <w:rFonts w:asciiTheme="majorHAnsi" w:hAnsiTheme="majorHAnsi" w:cs="Arial"/>
          <w:color w:val="222222"/>
        </w:rPr>
        <w:t> </w:t>
      </w:r>
      <w:r w:rsidRPr="006B6E7E">
        <w:rPr>
          <w:rStyle w:val="apple-converted-space"/>
          <w:rFonts w:asciiTheme="majorHAnsi" w:hAnsiTheme="majorHAnsi" w:cs="Arial"/>
          <w:color w:val="222222"/>
        </w:rPr>
        <w:t> </w:t>
      </w:r>
      <w:r w:rsidRPr="006B6E7E">
        <w:rPr>
          <w:rStyle w:val="m-5421741555726062815s2"/>
          <w:rFonts w:asciiTheme="majorHAnsi" w:hAnsiTheme="majorHAnsi" w:cs="Arial"/>
          <w:color w:val="222222"/>
        </w:rPr>
        <w:t>następujące okoliczności jako przesłanki dyskryminacji: płeć, rasę, kolor skóry, pochodzenie etniczne lub społeczne,</w:t>
      </w:r>
      <w:r w:rsidRPr="006B6E7E">
        <w:rPr>
          <w:rStyle w:val="m-5421741555726062815apple-converted-space"/>
          <w:rFonts w:asciiTheme="majorHAnsi" w:hAnsiTheme="majorHAnsi" w:cs="Arial"/>
          <w:color w:val="222222"/>
        </w:rPr>
        <w:t> </w:t>
      </w:r>
      <w:r w:rsidRPr="006B6E7E">
        <w:rPr>
          <w:rStyle w:val="apple-converted-space"/>
          <w:rFonts w:asciiTheme="majorHAnsi" w:hAnsiTheme="majorHAnsi" w:cs="Arial"/>
          <w:color w:val="222222"/>
        </w:rPr>
        <w:t> </w:t>
      </w:r>
      <w:r w:rsidRPr="006B6E7E">
        <w:rPr>
          <w:rStyle w:val="m-5421741555726062815s2"/>
          <w:rFonts w:asciiTheme="majorHAnsi" w:hAnsiTheme="majorHAnsi" w:cs="Arial"/>
          <w:color w:val="222222"/>
        </w:rPr>
        <w:t>cechy generyczne, język, religię lub światopogląd, poglądy polityczne lub inne, przynależność do mniejszości narodowej, majątek, urodzenie, niepełnosprawność, wiek lub orientacja seksualna. Jest to</w:t>
      </w:r>
      <w:r w:rsidRPr="006B6E7E">
        <w:rPr>
          <w:rStyle w:val="m-5421741555726062815apple-converted-space"/>
          <w:rFonts w:asciiTheme="majorHAnsi" w:hAnsiTheme="majorHAnsi" w:cs="Arial"/>
          <w:color w:val="222222"/>
        </w:rPr>
        <w:t> </w:t>
      </w:r>
      <w:r w:rsidRPr="006B6E7E">
        <w:rPr>
          <w:rStyle w:val="apple-converted-space"/>
          <w:rFonts w:asciiTheme="majorHAnsi" w:hAnsiTheme="majorHAnsi" w:cs="Arial"/>
          <w:color w:val="222222"/>
        </w:rPr>
        <w:t> </w:t>
      </w:r>
      <w:r w:rsidRPr="006B6E7E">
        <w:rPr>
          <w:rStyle w:val="m-5421741555726062815s2"/>
          <w:rFonts w:asciiTheme="majorHAnsi" w:hAnsiTheme="majorHAnsi" w:cs="Arial"/>
          <w:color w:val="222222"/>
        </w:rPr>
        <w:t>również katalog otwarty, okoliczności wymienione są "w szczególności".</w:t>
      </w:r>
      <w:r w:rsidRPr="006B6E7E">
        <w:rPr>
          <w:rStyle w:val="m-5421741555726062815apple-converted-space"/>
          <w:rFonts w:asciiTheme="majorHAnsi" w:hAnsiTheme="majorHAnsi" w:cs="Arial"/>
          <w:color w:val="222222"/>
        </w:rPr>
        <w:t> </w:t>
      </w:r>
    </w:p>
    <w:p w:rsidR="006B6E7E" w:rsidRPr="006B6E7E" w:rsidRDefault="006B6E7E" w:rsidP="006B6E7E">
      <w:pPr>
        <w:pStyle w:val="m-5421741555726062815p2"/>
        <w:shd w:val="clear" w:color="auto" w:fill="FFFFFF"/>
        <w:spacing w:before="0" w:beforeAutospacing="0" w:after="0" w:afterAutospacing="0" w:line="360" w:lineRule="auto"/>
        <w:jc w:val="both"/>
        <w:rPr>
          <w:rFonts w:asciiTheme="majorHAnsi" w:hAnsiTheme="majorHAnsi" w:cs="Arial"/>
          <w:color w:val="222222"/>
        </w:rPr>
      </w:pPr>
      <w:r w:rsidRPr="006B6E7E">
        <w:rPr>
          <w:rStyle w:val="m-5421741555726062815s2"/>
          <w:rFonts w:asciiTheme="majorHAnsi" w:hAnsiTheme="majorHAnsi" w:cs="Arial"/>
          <w:color w:val="222222"/>
        </w:rPr>
        <w:lastRenderedPageBreak/>
        <w:t>Jako że oba podstawowe źródła zawierają otwarte katalogi, kryteriów</w:t>
      </w:r>
      <w:r w:rsidRPr="006B6E7E">
        <w:rPr>
          <w:rStyle w:val="m-5421741555726062815apple-converted-space"/>
          <w:rFonts w:asciiTheme="majorHAnsi" w:hAnsiTheme="majorHAnsi" w:cs="Arial"/>
          <w:color w:val="222222"/>
        </w:rPr>
        <w:t> </w:t>
      </w:r>
      <w:r w:rsidRPr="006B6E7E">
        <w:rPr>
          <w:rStyle w:val="apple-converted-space"/>
          <w:rFonts w:asciiTheme="majorHAnsi" w:hAnsiTheme="majorHAnsi" w:cs="Arial"/>
          <w:color w:val="222222"/>
        </w:rPr>
        <w:t> </w:t>
      </w:r>
      <w:r w:rsidRPr="006B6E7E">
        <w:rPr>
          <w:rStyle w:val="m-5421741555726062815s2"/>
          <w:rFonts w:asciiTheme="majorHAnsi" w:hAnsiTheme="majorHAnsi" w:cs="Arial"/>
          <w:color w:val="222222"/>
        </w:rPr>
        <w:t>dyskryminacji może być więcej niż wyraźnie wymieniono w przepisach.</w:t>
      </w:r>
      <w:r w:rsidRPr="006B6E7E">
        <w:rPr>
          <w:rStyle w:val="m-5421741555726062815apple-converted-space"/>
          <w:rFonts w:asciiTheme="majorHAnsi" w:hAnsiTheme="majorHAnsi" w:cs="Arial"/>
          <w:color w:val="222222"/>
        </w:rPr>
        <w:t> </w:t>
      </w:r>
    </w:p>
    <w:p w:rsidR="006B6E7E" w:rsidRPr="006B6E7E" w:rsidRDefault="006B6E7E" w:rsidP="006B6E7E">
      <w:pPr>
        <w:pStyle w:val="m-5421741555726062815p2"/>
        <w:shd w:val="clear" w:color="auto" w:fill="FFFFFF"/>
        <w:spacing w:before="0" w:beforeAutospacing="0" w:after="0" w:afterAutospacing="0" w:line="360" w:lineRule="auto"/>
        <w:ind w:firstLine="708"/>
        <w:jc w:val="both"/>
        <w:rPr>
          <w:rFonts w:asciiTheme="majorHAnsi" w:hAnsiTheme="majorHAnsi" w:cs="Arial"/>
          <w:color w:val="222222"/>
        </w:rPr>
      </w:pPr>
      <w:r w:rsidRPr="006B6E7E">
        <w:rPr>
          <w:rStyle w:val="m-5421741555726062815s2"/>
          <w:rFonts w:asciiTheme="majorHAnsi" w:hAnsiTheme="majorHAnsi" w:cs="Arial"/>
          <w:color w:val="222222"/>
        </w:rPr>
        <w:t>Przy kwalifikacji przypadków do grupy tych, w których istniała motywacja dyskryminacyjna braliśmy pod uwagę motywację podstawową, to jest taką, bez której przypadek by nie zaistniał. Te przypadki, w których motywacja wynikająca z dyskryminacji pojawiała się jako uboczna, nie podstawowa, były kwalifikowane jako nie związane z dyskryminacją.</w:t>
      </w:r>
      <w:r w:rsidRPr="006B6E7E">
        <w:rPr>
          <w:rStyle w:val="m-5421741555726062815apple-converted-space"/>
          <w:rFonts w:asciiTheme="majorHAnsi" w:hAnsiTheme="majorHAnsi" w:cs="Arial"/>
          <w:color w:val="222222"/>
        </w:rPr>
        <w:t> </w:t>
      </w:r>
    </w:p>
    <w:p w:rsidR="006B6E7E" w:rsidRPr="006B6E7E" w:rsidRDefault="006B6E7E" w:rsidP="006B6E7E">
      <w:pPr>
        <w:pStyle w:val="m-5421741555726062815p2"/>
        <w:shd w:val="clear" w:color="auto" w:fill="FFFFFF"/>
        <w:spacing w:before="0" w:beforeAutospacing="0" w:after="0" w:afterAutospacing="0" w:line="360" w:lineRule="auto"/>
        <w:jc w:val="both"/>
        <w:rPr>
          <w:rFonts w:asciiTheme="majorHAnsi" w:hAnsiTheme="majorHAnsi" w:cs="Arial"/>
          <w:color w:val="222222"/>
        </w:rPr>
      </w:pPr>
      <w:r w:rsidRPr="006B6E7E">
        <w:rPr>
          <w:rStyle w:val="m-5421741555726062815s2"/>
          <w:rFonts w:asciiTheme="majorHAnsi" w:hAnsiTheme="majorHAnsi" w:cs="Arial"/>
          <w:color w:val="222222"/>
        </w:rPr>
        <w:t>Przykładowo, jeżeli agresja słowna skierowana do indywidualnej osoby była wywołana przez okoliczność inną niż samo istnienie kryterium dyskryminującego np. fakt namawiania do udziału w manifestacji patriotycznej (miesięcznica smoleńska), ale odwoływała się wprost do kryterium grupowo dyskryminującego (zwrot "staruchy" lub "mohery"), przypadek taki nie może być uznany za przestępstwo</w:t>
      </w:r>
      <w:r w:rsidRPr="006B6E7E">
        <w:rPr>
          <w:rStyle w:val="m-5421741555726062815apple-converted-space"/>
          <w:rFonts w:asciiTheme="majorHAnsi" w:hAnsiTheme="majorHAnsi" w:cs="Arial"/>
          <w:color w:val="222222"/>
        </w:rPr>
        <w:t> </w:t>
      </w:r>
      <w:r w:rsidRPr="006B6E7E">
        <w:rPr>
          <w:rStyle w:val="apple-converted-space"/>
          <w:rFonts w:asciiTheme="majorHAnsi" w:hAnsiTheme="majorHAnsi" w:cs="Arial"/>
          <w:color w:val="222222"/>
        </w:rPr>
        <w:t> </w:t>
      </w:r>
      <w:r w:rsidRPr="006B6E7E">
        <w:rPr>
          <w:rStyle w:val="m-5421741555726062815s2"/>
          <w:rFonts w:asciiTheme="majorHAnsi" w:hAnsiTheme="majorHAnsi" w:cs="Arial"/>
          <w:color w:val="222222"/>
        </w:rPr>
        <w:t>zniewagi, więc tym bardziej nie uznaliśmy go za przestępstwo z motywów dyskryminacyjnych. Użycie zwrotu "staruchy" jest z pewnością zwykłym chamstwem, ale nie wypełnia znamion zniewagi nawet prywatnoskargowej.</w:t>
      </w:r>
      <w:r w:rsidRPr="006B6E7E">
        <w:rPr>
          <w:rStyle w:val="m-5421741555726062815apple-converted-space"/>
          <w:rFonts w:asciiTheme="majorHAnsi" w:hAnsiTheme="majorHAnsi" w:cs="Arial"/>
          <w:color w:val="222222"/>
        </w:rPr>
        <w:t> </w:t>
      </w:r>
    </w:p>
    <w:p w:rsidR="006B6E7E" w:rsidRPr="006B6E7E" w:rsidRDefault="006B6E7E" w:rsidP="006B6E7E">
      <w:pPr>
        <w:pStyle w:val="m-5421741555726062815p2"/>
        <w:shd w:val="clear" w:color="auto" w:fill="FFFFFF"/>
        <w:spacing w:before="0" w:beforeAutospacing="0" w:after="0" w:afterAutospacing="0" w:line="360" w:lineRule="auto"/>
        <w:ind w:firstLine="708"/>
        <w:jc w:val="both"/>
        <w:rPr>
          <w:rFonts w:asciiTheme="majorHAnsi" w:hAnsiTheme="majorHAnsi" w:cs="Arial"/>
          <w:color w:val="222222"/>
        </w:rPr>
      </w:pPr>
      <w:r w:rsidRPr="006B6E7E">
        <w:rPr>
          <w:rStyle w:val="m-5421741555726062815s2"/>
          <w:rFonts w:asciiTheme="majorHAnsi" w:hAnsiTheme="majorHAnsi" w:cs="Arial"/>
          <w:color w:val="222222"/>
        </w:rPr>
        <w:t>Podobnie, gdy fakt przestępstwa nie budził wątpliwości, ale nie były jasne motywy jego popełnienia (np. kradzież kul ortopedycznych lub zniszczenie wózka inwalidzkiego pozostawionego na klatce schodowej), to jest - nie było wiadomo czy motywem sprawcy była chęć dokuczenia osobie niepełnosprawnej czy zwykłe chuligaństwo zniszczenie wózka) lub chęć zysku (sprzedaż kul) - czyn taki nie był uznawany za przestępstwo z motywów wynikających z dyskryminacji.</w:t>
      </w:r>
    </w:p>
    <w:p w:rsidR="00E076EA" w:rsidRPr="006B6E7E" w:rsidRDefault="00E076EA" w:rsidP="006B6E7E">
      <w:pPr>
        <w:spacing w:after="0" w:line="360" w:lineRule="auto"/>
        <w:ind w:firstLine="708"/>
        <w:jc w:val="both"/>
        <w:rPr>
          <w:rFonts w:asciiTheme="majorHAnsi" w:hAnsiTheme="majorHAnsi" w:cs="Arial"/>
          <w:sz w:val="24"/>
          <w:szCs w:val="28"/>
        </w:rPr>
      </w:pPr>
    </w:p>
    <w:p w:rsidR="006B6E7E" w:rsidRPr="006B6E7E" w:rsidRDefault="006B6E7E" w:rsidP="006B6E7E">
      <w:pPr>
        <w:pStyle w:val="m-5421741555726062815p1"/>
        <w:numPr>
          <w:ilvl w:val="0"/>
          <w:numId w:val="2"/>
        </w:numPr>
        <w:shd w:val="clear" w:color="auto" w:fill="FFFFFF"/>
        <w:spacing w:before="0" w:beforeAutospacing="0" w:after="0" w:afterAutospacing="0" w:line="360" w:lineRule="auto"/>
        <w:rPr>
          <w:rStyle w:val="m-5421741555726062815s1"/>
          <w:rFonts w:asciiTheme="majorHAnsi" w:hAnsiTheme="majorHAnsi" w:cs="Arial"/>
          <w:b/>
          <w:color w:val="222222"/>
        </w:rPr>
      </w:pPr>
      <w:r w:rsidRPr="006B6E7E">
        <w:rPr>
          <w:rStyle w:val="m-5421741555726062815s1"/>
          <w:rFonts w:asciiTheme="majorHAnsi" w:hAnsiTheme="majorHAnsi" w:cs="Arial"/>
          <w:b/>
          <w:color w:val="222222"/>
        </w:rPr>
        <w:t>Komentarz do zestawu rekordów – zdarzenia wypełniające znamiona motywacji dyskryminacyjnej</w:t>
      </w:r>
    </w:p>
    <w:p w:rsidR="006B6E7E" w:rsidRPr="006B6E7E" w:rsidRDefault="006B6E7E" w:rsidP="006B6E7E">
      <w:pPr>
        <w:pStyle w:val="m-5421741555726062815p1"/>
        <w:shd w:val="clear" w:color="auto" w:fill="FFFFFF"/>
        <w:spacing w:before="0" w:beforeAutospacing="0" w:after="0" w:afterAutospacing="0" w:line="360" w:lineRule="auto"/>
        <w:ind w:left="360"/>
        <w:rPr>
          <w:rStyle w:val="m-5421741555726062815s1"/>
          <w:rFonts w:asciiTheme="majorHAnsi" w:hAnsiTheme="majorHAnsi" w:cs="Arial"/>
          <w:b/>
          <w:color w:val="222222"/>
        </w:rPr>
      </w:pPr>
    </w:p>
    <w:p w:rsidR="006B6E7E" w:rsidRPr="006B6E7E" w:rsidRDefault="006B6E7E" w:rsidP="006B6E7E">
      <w:pPr>
        <w:pStyle w:val="m-5863466080146841653p2"/>
        <w:shd w:val="clear" w:color="auto" w:fill="FFFFFF"/>
        <w:spacing w:before="0" w:beforeAutospacing="0" w:after="0" w:afterAutospacing="0" w:line="360" w:lineRule="auto"/>
        <w:ind w:firstLine="708"/>
        <w:jc w:val="both"/>
        <w:rPr>
          <w:rFonts w:asciiTheme="majorHAnsi" w:hAnsiTheme="majorHAnsi" w:cs="Arial"/>
          <w:color w:val="222222"/>
        </w:rPr>
      </w:pPr>
      <w:r w:rsidRPr="006B6E7E">
        <w:rPr>
          <w:rStyle w:val="m-5863466080146841653s2"/>
          <w:rFonts w:asciiTheme="majorHAnsi" w:hAnsiTheme="majorHAnsi" w:cs="Arial"/>
          <w:color w:val="222222"/>
        </w:rPr>
        <w:t>W rekordach przedstawionych do oceny pojawiają się dwa różne ich rodzaje. Po pierwsze stany faktyczne opisujące znamiona przestępstw (zniewagi, ewentualnie rzadziej zniesławienia, naruszenie nietykalności cielesnej oraz zniewagi lub naruszenia nietykalności cielesnej o charakterze</w:t>
      </w:r>
      <w:r w:rsidRPr="006B6E7E">
        <w:rPr>
          <w:rStyle w:val="m-5863466080146841653apple-converted-space"/>
          <w:rFonts w:asciiTheme="majorHAnsi" w:hAnsiTheme="majorHAnsi" w:cs="Arial"/>
          <w:color w:val="222222"/>
        </w:rPr>
        <w:t> </w:t>
      </w:r>
      <w:r w:rsidRPr="006B6E7E">
        <w:rPr>
          <w:rStyle w:val="apple-converted-space"/>
          <w:rFonts w:asciiTheme="majorHAnsi" w:hAnsiTheme="majorHAnsi" w:cs="Arial"/>
          <w:color w:val="222222"/>
        </w:rPr>
        <w:t> </w:t>
      </w:r>
      <w:r w:rsidRPr="006B6E7E">
        <w:rPr>
          <w:rStyle w:val="m-5863466080146841653s2"/>
          <w:rFonts w:asciiTheme="majorHAnsi" w:hAnsiTheme="majorHAnsi" w:cs="Arial"/>
          <w:color w:val="222222"/>
        </w:rPr>
        <w:t>publicznoskargowym ze względu na okoliczności związane z wymienionymi w k</w:t>
      </w:r>
      <w:r>
        <w:rPr>
          <w:rStyle w:val="m-5863466080146841653s2"/>
          <w:rFonts w:asciiTheme="majorHAnsi" w:hAnsiTheme="majorHAnsi" w:cs="Arial"/>
          <w:color w:val="222222"/>
        </w:rPr>
        <w:t xml:space="preserve">odeksie karnym </w:t>
      </w:r>
      <w:r w:rsidRPr="006B6E7E">
        <w:rPr>
          <w:rStyle w:val="m-5863466080146841653s2"/>
          <w:rFonts w:asciiTheme="majorHAnsi" w:hAnsiTheme="majorHAnsi" w:cs="Arial"/>
          <w:color w:val="222222"/>
        </w:rPr>
        <w:t>kryteriami</w:t>
      </w:r>
      <w:r w:rsidRPr="006B6E7E">
        <w:rPr>
          <w:rStyle w:val="m-5863466080146841653apple-converted-space"/>
          <w:rFonts w:asciiTheme="majorHAnsi" w:hAnsiTheme="majorHAnsi" w:cs="Arial"/>
          <w:color w:val="222222"/>
        </w:rPr>
        <w:t> </w:t>
      </w:r>
      <w:r w:rsidRPr="006B6E7E">
        <w:rPr>
          <w:rStyle w:val="apple-converted-space"/>
          <w:rFonts w:asciiTheme="majorHAnsi" w:hAnsiTheme="majorHAnsi" w:cs="Arial"/>
          <w:color w:val="222222"/>
        </w:rPr>
        <w:t> </w:t>
      </w:r>
      <w:r w:rsidRPr="006B6E7E">
        <w:rPr>
          <w:rStyle w:val="m-5863466080146841653s2"/>
          <w:rFonts w:asciiTheme="majorHAnsi" w:hAnsiTheme="majorHAnsi" w:cs="Arial"/>
          <w:color w:val="222222"/>
        </w:rPr>
        <w:t>dyskryminacji).</w:t>
      </w:r>
      <w:r w:rsidRPr="006B6E7E">
        <w:rPr>
          <w:rStyle w:val="m-5863466080146841653apple-converted-space"/>
          <w:rFonts w:asciiTheme="majorHAnsi" w:hAnsiTheme="majorHAnsi" w:cs="Arial"/>
          <w:color w:val="222222"/>
        </w:rPr>
        <w:t> </w:t>
      </w:r>
    </w:p>
    <w:p w:rsidR="006B6E7E" w:rsidRPr="006B6E7E" w:rsidRDefault="006B6E7E" w:rsidP="006B6E7E">
      <w:pPr>
        <w:pStyle w:val="m-5863466080146841653p2"/>
        <w:shd w:val="clear" w:color="auto" w:fill="FFFFFF"/>
        <w:spacing w:before="0" w:beforeAutospacing="0" w:after="0" w:afterAutospacing="0" w:line="360" w:lineRule="auto"/>
        <w:jc w:val="both"/>
        <w:rPr>
          <w:rFonts w:asciiTheme="majorHAnsi" w:hAnsiTheme="majorHAnsi" w:cs="Arial"/>
          <w:color w:val="222222"/>
        </w:rPr>
      </w:pPr>
      <w:r w:rsidRPr="006B6E7E">
        <w:rPr>
          <w:rStyle w:val="m-5863466080146841653s2"/>
          <w:rFonts w:asciiTheme="majorHAnsi" w:hAnsiTheme="majorHAnsi" w:cs="Arial"/>
          <w:color w:val="222222"/>
        </w:rPr>
        <w:t xml:space="preserve">Typowe i niewątpliwe zdarzenia, w których stwierdzaliśmy motywację dyskryminacyjną związane są z okolicznościami wymienionymi w art. 257 k.k. (przynależność narodowa, etniczna, rasowa, wyznaniowa lub bezwyznaniowość). Motywacja ta mogła pojawiać się </w:t>
      </w:r>
      <w:r w:rsidRPr="006B6E7E">
        <w:rPr>
          <w:rStyle w:val="m-5863466080146841653s2"/>
          <w:rFonts w:asciiTheme="majorHAnsi" w:hAnsiTheme="majorHAnsi" w:cs="Arial"/>
          <w:color w:val="222222"/>
        </w:rPr>
        <w:lastRenderedPageBreak/>
        <w:t>jako podstawowa lub uboczna/szczególna. Jako podstawowa motywacja dyskryminująca występowała w tych stanach faktycznych, w których stanowiła jedyną, zatem więcej niż podstawową motywację sprawcy, np. wyzwiska (zniewaga) osoby o szczególnych cechach (czarnuchu, asfalcie, pedale itp), nawet wtedy, gdy cechy te nie pojawiają się jako skutkujące przeniesienie zniewagi do trybu publicznoskargowego</w:t>
      </w:r>
      <w:r w:rsidRPr="006B6E7E">
        <w:rPr>
          <w:rStyle w:val="m-5863466080146841653apple-converted-space"/>
          <w:rFonts w:asciiTheme="majorHAnsi" w:hAnsiTheme="majorHAnsi" w:cs="Arial"/>
          <w:color w:val="222222"/>
        </w:rPr>
        <w:t> </w:t>
      </w:r>
      <w:r w:rsidRPr="006B6E7E">
        <w:rPr>
          <w:rStyle w:val="apple-converted-space"/>
          <w:rFonts w:asciiTheme="majorHAnsi" w:hAnsiTheme="majorHAnsi" w:cs="Arial"/>
          <w:color w:val="222222"/>
        </w:rPr>
        <w:t> </w:t>
      </w:r>
      <w:r w:rsidRPr="006B6E7E">
        <w:rPr>
          <w:rStyle w:val="m-5863466080146841653s2"/>
          <w:rFonts w:asciiTheme="majorHAnsi" w:hAnsiTheme="majorHAnsi" w:cs="Arial"/>
          <w:color w:val="222222"/>
        </w:rPr>
        <w:t>- jak np. odmienna orientacja seksualna.</w:t>
      </w:r>
      <w:r w:rsidRPr="006B6E7E">
        <w:rPr>
          <w:rStyle w:val="m-5863466080146841653apple-converted-space"/>
          <w:rFonts w:asciiTheme="majorHAnsi" w:hAnsiTheme="majorHAnsi" w:cs="Arial"/>
          <w:color w:val="222222"/>
        </w:rPr>
        <w:t> </w:t>
      </w:r>
    </w:p>
    <w:p w:rsidR="006B6E7E" w:rsidRPr="006B6E7E" w:rsidRDefault="006B6E7E" w:rsidP="006B6E7E">
      <w:pPr>
        <w:pStyle w:val="m-5863466080146841653p2"/>
        <w:shd w:val="clear" w:color="auto" w:fill="FFFFFF"/>
        <w:spacing w:before="0" w:beforeAutospacing="0" w:after="0" w:afterAutospacing="0" w:line="360" w:lineRule="auto"/>
        <w:ind w:firstLine="708"/>
        <w:jc w:val="both"/>
        <w:rPr>
          <w:rFonts w:asciiTheme="majorHAnsi" w:hAnsiTheme="majorHAnsi" w:cs="Arial"/>
          <w:color w:val="222222"/>
        </w:rPr>
      </w:pPr>
      <w:r w:rsidRPr="006B6E7E">
        <w:rPr>
          <w:rStyle w:val="m-5863466080146841653s2"/>
          <w:rFonts w:asciiTheme="majorHAnsi" w:hAnsiTheme="majorHAnsi" w:cs="Arial"/>
          <w:color w:val="222222"/>
        </w:rPr>
        <w:t>Motywacja dyskryminacyjna pojawiała się też, jako uboczna towarzysząca innej, według nas podstawowej, która nie miała charakteru dyskryminującego. Takie przypadki również zaliczaliśmy do czynów związanych z dyskryminacją, szczególnie, gdy zasadniczą motywacją było chuligaństwo, związane ustawowo z określeniem "bez powodu lub z powodu oczywiście błahego", np zniszczenie wózka inwalidzkiego należącego do osoby niesprawnej, dokonane w jej obecności. Również utrudnianie poruszania się takiej osobie z zasadniczych powodów chuligańskich, popychanie itp. zaliczaliśmy do czynów z motywów dyskryminujących.</w:t>
      </w:r>
      <w:r w:rsidRPr="006B6E7E">
        <w:rPr>
          <w:rStyle w:val="m-5863466080146841653apple-converted-space"/>
          <w:rFonts w:asciiTheme="majorHAnsi" w:hAnsiTheme="majorHAnsi" w:cs="Arial"/>
          <w:color w:val="222222"/>
        </w:rPr>
        <w:t> </w:t>
      </w:r>
    </w:p>
    <w:p w:rsidR="006B6E7E" w:rsidRPr="006B6E7E" w:rsidRDefault="006B6E7E" w:rsidP="006B6E7E">
      <w:pPr>
        <w:pStyle w:val="m-5863466080146841653p2"/>
        <w:shd w:val="clear" w:color="auto" w:fill="FFFFFF"/>
        <w:spacing w:before="0" w:beforeAutospacing="0" w:after="0" w:afterAutospacing="0" w:line="360" w:lineRule="auto"/>
        <w:ind w:firstLine="708"/>
        <w:jc w:val="both"/>
        <w:rPr>
          <w:rFonts w:asciiTheme="majorHAnsi" w:hAnsiTheme="majorHAnsi" w:cs="Arial"/>
          <w:color w:val="222222"/>
        </w:rPr>
      </w:pPr>
      <w:r w:rsidRPr="006B6E7E">
        <w:rPr>
          <w:rStyle w:val="m-5863466080146841653s2"/>
          <w:rFonts w:asciiTheme="majorHAnsi" w:hAnsiTheme="majorHAnsi" w:cs="Arial"/>
          <w:color w:val="222222"/>
        </w:rPr>
        <w:t>Nie zaliczaliśmy do czynów z motywów dyskryminacyjnych zdarzeń, w których motywacja sprawcy nie była znana, jak kradzież kul ortopedycznych lub zniszczenie wózka inwalidzkiego, dokonane nie w obecności osoby niesprawnej.</w:t>
      </w:r>
    </w:p>
    <w:p w:rsidR="006B6E7E" w:rsidRPr="006B6E7E" w:rsidRDefault="006B6E7E" w:rsidP="006B6E7E">
      <w:pPr>
        <w:pStyle w:val="m-5863466080146841653p2"/>
        <w:shd w:val="clear" w:color="auto" w:fill="FFFFFF"/>
        <w:spacing w:before="0" w:beforeAutospacing="0" w:after="0" w:afterAutospacing="0" w:line="360" w:lineRule="auto"/>
        <w:ind w:firstLine="708"/>
        <w:jc w:val="both"/>
        <w:rPr>
          <w:rFonts w:asciiTheme="majorHAnsi" w:hAnsiTheme="majorHAnsi" w:cs="Arial"/>
          <w:color w:val="222222"/>
        </w:rPr>
      </w:pPr>
      <w:r w:rsidRPr="006B6E7E">
        <w:rPr>
          <w:rStyle w:val="m-5863466080146841653s2"/>
          <w:rFonts w:asciiTheme="majorHAnsi" w:hAnsiTheme="majorHAnsi" w:cs="Arial"/>
          <w:color w:val="222222"/>
        </w:rPr>
        <w:t>Słowa znieważające ocenialiśmy według kryterium obiektywnego, chociaż subiektywnie mogły być dla osoby niesprawnej przykre, np. określenia "kulas" nie uznawaliśmy za zniewagę. Również zwrotów zaliczających człowieka do zdefiniowanej grupy, np. "tacy starcy nie powinni utrudniać zakupów innym" nie zaliczaliśmy do zniewag, chociaż zaliczaliśmy do zniewag określenia odwołujące się do cech wymienionych w art. 257 k.k., jak np "dla czarnuchów nie ma tu miejsca".</w:t>
      </w:r>
      <w:r w:rsidRPr="006B6E7E">
        <w:rPr>
          <w:rStyle w:val="m-5863466080146841653apple-converted-space"/>
          <w:rFonts w:asciiTheme="majorHAnsi" w:hAnsiTheme="majorHAnsi" w:cs="Arial"/>
          <w:color w:val="222222"/>
        </w:rPr>
        <w:t> </w:t>
      </w:r>
    </w:p>
    <w:p w:rsidR="006B6E7E" w:rsidRPr="006B6E7E" w:rsidRDefault="006B6E7E" w:rsidP="006B6E7E">
      <w:pPr>
        <w:pStyle w:val="m-5863466080146841653p2"/>
        <w:shd w:val="clear" w:color="auto" w:fill="FFFFFF"/>
        <w:spacing w:before="0" w:beforeAutospacing="0" w:after="0" w:afterAutospacing="0" w:line="360" w:lineRule="auto"/>
        <w:jc w:val="both"/>
        <w:rPr>
          <w:rFonts w:asciiTheme="majorHAnsi" w:hAnsiTheme="majorHAnsi" w:cs="Arial"/>
          <w:szCs w:val="28"/>
        </w:rPr>
      </w:pPr>
      <w:r w:rsidRPr="006B6E7E">
        <w:rPr>
          <w:rStyle w:val="m-5863466080146841653s2"/>
          <w:rFonts w:asciiTheme="majorHAnsi" w:hAnsiTheme="majorHAnsi" w:cs="Arial"/>
          <w:color w:val="222222"/>
        </w:rPr>
        <w:t>Występowały przypadki budzące wątpliwości ze względu na skrótowość opisu. Te nie były zaliczane</w:t>
      </w:r>
      <w:r w:rsidRPr="006B6E7E">
        <w:rPr>
          <w:rStyle w:val="m-5863466080146841653apple-converted-space"/>
          <w:rFonts w:asciiTheme="majorHAnsi" w:hAnsiTheme="majorHAnsi" w:cs="Arial"/>
          <w:color w:val="222222"/>
        </w:rPr>
        <w:t> </w:t>
      </w:r>
      <w:r w:rsidRPr="006B6E7E">
        <w:rPr>
          <w:rStyle w:val="apple-converted-space"/>
          <w:rFonts w:asciiTheme="majorHAnsi" w:hAnsiTheme="majorHAnsi" w:cs="Arial"/>
          <w:color w:val="222222"/>
        </w:rPr>
        <w:t> </w:t>
      </w:r>
      <w:r w:rsidRPr="006B6E7E">
        <w:rPr>
          <w:rStyle w:val="m-5863466080146841653s2"/>
          <w:rFonts w:asciiTheme="majorHAnsi" w:hAnsiTheme="majorHAnsi" w:cs="Arial"/>
          <w:color w:val="222222"/>
        </w:rPr>
        <w:t>do zdarzeń związanych z dyskryminacją.</w:t>
      </w:r>
    </w:p>
    <w:sectPr w:rsidR="006B6E7E" w:rsidRPr="006B6E7E" w:rsidSect="00B52E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428" w:rsidRDefault="00DF5428" w:rsidP="006B6E7E">
      <w:pPr>
        <w:spacing w:after="0" w:line="240" w:lineRule="auto"/>
      </w:pPr>
      <w:r>
        <w:separator/>
      </w:r>
    </w:p>
  </w:endnote>
  <w:endnote w:type="continuationSeparator" w:id="0">
    <w:p w:rsidR="00DF5428" w:rsidRDefault="00DF5428" w:rsidP="006B6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146032"/>
      <w:docPartObj>
        <w:docPartGallery w:val="Page Numbers (Bottom of Page)"/>
        <w:docPartUnique/>
      </w:docPartObj>
    </w:sdtPr>
    <w:sdtEndPr/>
    <w:sdtContent>
      <w:p w:rsidR="006B6E7E" w:rsidRDefault="005B5A82">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rsidR="006B6E7E" w:rsidRDefault="006B6E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428" w:rsidRDefault="00DF5428" w:rsidP="006B6E7E">
      <w:pPr>
        <w:spacing w:after="0" w:line="240" w:lineRule="auto"/>
      </w:pPr>
      <w:r>
        <w:separator/>
      </w:r>
    </w:p>
  </w:footnote>
  <w:footnote w:type="continuationSeparator" w:id="0">
    <w:p w:rsidR="00DF5428" w:rsidRDefault="00DF5428" w:rsidP="006B6E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247FF"/>
    <w:multiLevelType w:val="hybridMultilevel"/>
    <w:tmpl w:val="A3C89E5C"/>
    <w:lvl w:ilvl="0" w:tplc="876E0B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2E31879"/>
    <w:multiLevelType w:val="hybridMultilevel"/>
    <w:tmpl w:val="A3C89E5C"/>
    <w:lvl w:ilvl="0" w:tplc="876E0B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98C2B1D"/>
    <w:multiLevelType w:val="hybridMultilevel"/>
    <w:tmpl w:val="24623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DB4"/>
    <w:rsid w:val="00143456"/>
    <w:rsid w:val="00413262"/>
    <w:rsid w:val="00433A04"/>
    <w:rsid w:val="004D3EDA"/>
    <w:rsid w:val="004E7EEA"/>
    <w:rsid w:val="005B5A82"/>
    <w:rsid w:val="006B6E7E"/>
    <w:rsid w:val="006D7B7A"/>
    <w:rsid w:val="00736F08"/>
    <w:rsid w:val="00751A53"/>
    <w:rsid w:val="00874E50"/>
    <w:rsid w:val="00AA4DB4"/>
    <w:rsid w:val="00B52EAF"/>
    <w:rsid w:val="00CB49C7"/>
    <w:rsid w:val="00D35087"/>
    <w:rsid w:val="00DF5428"/>
    <w:rsid w:val="00E076EA"/>
    <w:rsid w:val="00E43728"/>
    <w:rsid w:val="00ED0745"/>
    <w:rsid w:val="00EE0DD1"/>
    <w:rsid w:val="00F338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4DB4"/>
    <w:pPr>
      <w:ind w:left="720"/>
      <w:contextualSpacing/>
    </w:pPr>
  </w:style>
  <w:style w:type="paragraph" w:customStyle="1" w:styleId="m-5421741555726062815p1">
    <w:name w:val="m_-5421741555726062815p1"/>
    <w:basedOn w:val="Normalny"/>
    <w:rsid w:val="006B6E7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5421741555726062815s1">
    <w:name w:val="m_-5421741555726062815s1"/>
    <w:basedOn w:val="Domylnaczcionkaakapitu"/>
    <w:rsid w:val="006B6E7E"/>
  </w:style>
  <w:style w:type="paragraph" w:customStyle="1" w:styleId="m-5421741555726062815p2">
    <w:name w:val="m_-5421741555726062815p2"/>
    <w:basedOn w:val="Normalny"/>
    <w:rsid w:val="006B6E7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5421741555726062815s2">
    <w:name w:val="m_-5421741555726062815s2"/>
    <w:basedOn w:val="Domylnaczcionkaakapitu"/>
    <w:rsid w:val="006B6E7E"/>
  </w:style>
  <w:style w:type="character" w:customStyle="1" w:styleId="m-5421741555726062815apple-converted-space">
    <w:name w:val="m_-5421741555726062815apple-converted-space"/>
    <w:basedOn w:val="Domylnaczcionkaakapitu"/>
    <w:rsid w:val="006B6E7E"/>
  </w:style>
  <w:style w:type="character" w:customStyle="1" w:styleId="apple-converted-space">
    <w:name w:val="apple-converted-space"/>
    <w:basedOn w:val="Domylnaczcionkaakapitu"/>
    <w:rsid w:val="006B6E7E"/>
  </w:style>
  <w:style w:type="paragraph" w:customStyle="1" w:styleId="m-5863466080146841653p2">
    <w:name w:val="m_-5863466080146841653p2"/>
    <w:basedOn w:val="Normalny"/>
    <w:rsid w:val="006B6E7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5863466080146841653s2">
    <w:name w:val="m_-5863466080146841653s2"/>
    <w:basedOn w:val="Domylnaczcionkaakapitu"/>
    <w:rsid w:val="006B6E7E"/>
  </w:style>
  <w:style w:type="character" w:customStyle="1" w:styleId="m-5863466080146841653apple-converted-space">
    <w:name w:val="m_-5863466080146841653apple-converted-space"/>
    <w:basedOn w:val="Domylnaczcionkaakapitu"/>
    <w:rsid w:val="006B6E7E"/>
  </w:style>
  <w:style w:type="paragraph" w:styleId="Nagwek">
    <w:name w:val="header"/>
    <w:basedOn w:val="Normalny"/>
    <w:link w:val="NagwekZnak"/>
    <w:uiPriority w:val="99"/>
    <w:semiHidden/>
    <w:unhideWhenUsed/>
    <w:rsid w:val="006B6E7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B6E7E"/>
  </w:style>
  <w:style w:type="paragraph" w:styleId="Stopka">
    <w:name w:val="footer"/>
    <w:basedOn w:val="Normalny"/>
    <w:link w:val="StopkaZnak"/>
    <w:uiPriority w:val="99"/>
    <w:unhideWhenUsed/>
    <w:rsid w:val="006B6E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6E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4DB4"/>
    <w:pPr>
      <w:ind w:left="720"/>
      <w:contextualSpacing/>
    </w:pPr>
  </w:style>
  <w:style w:type="paragraph" w:customStyle="1" w:styleId="m-5421741555726062815p1">
    <w:name w:val="m_-5421741555726062815p1"/>
    <w:basedOn w:val="Normalny"/>
    <w:rsid w:val="006B6E7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5421741555726062815s1">
    <w:name w:val="m_-5421741555726062815s1"/>
    <w:basedOn w:val="Domylnaczcionkaakapitu"/>
    <w:rsid w:val="006B6E7E"/>
  </w:style>
  <w:style w:type="paragraph" w:customStyle="1" w:styleId="m-5421741555726062815p2">
    <w:name w:val="m_-5421741555726062815p2"/>
    <w:basedOn w:val="Normalny"/>
    <w:rsid w:val="006B6E7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5421741555726062815s2">
    <w:name w:val="m_-5421741555726062815s2"/>
    <w:basedOn w:val="Domylnaczcionkaakapitu"/>
    <w:rsid w:val="006B6E7E"/>
  </w:style>
  <w:style w:type="character" w:customStyle="1" w:styleId="m-5421741555726062815apple-converted-space">
    <w:name w:val="m_-5421741555726062815apple-converted-space"/>
    <w:basedOn w:val="Domylnaczcionkaakapitu"/>
    <w:rsid w:val="006B6E7E"/>
  </w:style>
  <w:style w:type="character" w:customStyle="1" w:styleId="apple-converted-space">
    <w:name w:val="apple-converted-space"/>
    <w:basedOn w:val="Domylnaczcionkaakapitu"/>
    <w:rsid w:val="006B6E7E"/>
  </w:style>
  <w:style w:type="paragraph" w:customStyle="1" w:styleId="m-5863466080146841653p2">
    <w:name w:val="m_-5863466080146841653p2"/>
    <w:basedOn w:val="Normalny"/>
    <w:rsid w:val="006B6E7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5863466080146841653s2">
    <w:name w:val="m_-5863466080146841653s2"/>
    <w:basedOn w:val="Domylnaczcionkaakapitu"/>
    <w:rsid w:val="006B6E7E"/>
  </w:style>
  <w:style w:type="character" w:customStyle="1" w:styleId="m-5863466080146841653apple-converted-space">
    <w:name w:val="m_-5863466080146841653apple-converted-space"/>
    <w:basedOn w:val="Domylnaczcionkaakapitu"/>
    <w:rsid w:val="006B6E7E"/>
  </w:style>
  <w:style w:type="paragraph" w:styleId="Nagwek">
    <w:name w:val="header"/>
    <w:basedOn w:val="Normalny"/>
    <w:link w:val="NagwekZnak"/>
    <w:uiPriority w:val="99"/>
    <w:semiHidden/>
    <w:unhideWhenUsed/>
    <w:rsid w:val="006B6E7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B6E7E"/>
  </w:style>
  <w:style w:type="paragraph" w:styleId="Stopka">
    <w:name w:val="footer"/>
    <w:basedOn w:val="Normalny"/>
    <w:link w:val="StopkaZnak"/>
    <w:uiPriority w:val="99"/>
    <w:unhideWhenUsed/>
    <w:rsid w:val="006B6E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6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1865</Words>
  <Characters>11193</Characters>
  <Application>Microsoft Office Word</Application>
  <DocSecurity>4</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BRPO</Company>
  <LinksUpToDate>false</LinksUpToDate>
  <CharactersWithSpaces>13032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Gardocka</dc:creator>
  <cp:lastModifiedBy>Anna Chabiera</cp:lastModifiedBy>
  <cp:revision>2</cp:revision>
  <dcterms:created xsi:type="dcterms:W3CDTF">2016-11-22T09:52:00Z</dcterms:created>
  <dcterms:modified xsi:type="dcterms:W3CDTF">2016-11-22T09:52:00Z</dcterms:modified>
</cp:coreProperties>
</file>