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04" w:rsidRDefault="00B51404" w:rsidP="00F35A44">
      <w:pPr>
        <w:jc w:val="both"/>
      </w:pPr>
      <w:r>
        <w:t xml:space="preserve">Katarzyna </w:t>
      </w:r>
      <w:proofErr w:type="spellStart"/>
      <w:r>
        <w:t>Słubik</w:t>
      </w:r>
      <w:proofErr w:type="spellEnd"/>
    </w:p>
    <w:p w:rsidR="008D5FAB" w:rsidRDefault="008D5FAB" w:rsidP="00F35A44">
      <w:pPr>
        <w:jc w:val="both"/>
      </w:pPr>
      <w:bookmarkStart w:id="0" w:name="_GoBack"/>
      <w:bookmarkEnd w:id="0"/>
      <w:r>
        <w:t xml:space="preserve">Przy ocenie charakteru wskazanych czynów posłużono się definicją przestępstw motywowanych uprzedzeniami ODIHR, </w:t>
      </w:r>
      <w:r w:rsidR="00C71354">
        <w:t>a więc każdorazowo ustalano, czy opisany czyn jest przestępstwem w</w:t>
      </w:r>
      <w:r w:rsidR="002267D1">
        <w:t xml:space="preserve">edług polskiego prawa karnego, </w:t>
      </w:r>
      <w:r>
        <w:t xml:space="preserve">zgodnie z którą przestępstwo takie aby zostać uznane za motywowane uprzedzeniami, musi być przestępstwem w Polsce </w:t>
      </w:r>
      <w:r w:rsidR="00FA1473">
        <w:t>jak również sprawca przestępstwa musi kierować się uprzedzeniami co do grupy, której przedstawicielem/</w:t>
      </w:r>
      <w:proofErr w:type="spellStart"/>
      <w:r w:rsidR="00FA1473">
        <w:t>ką</w:t>
      </w:r>
      <w:proofErr w:type="spellEnd"/>
      <w:r w:rsidR="00FA1473">
        <w:t xml:space="preserve"> jest pokrzywdzony/a. </w:t>
      </w:r>
    </w:p>
    <w:p w:rsidR="00B972F0" w:rsidRDefault="00FA1473" w:rsidP="00F35A44">
      <w:pPr>
        <w:jc w:val="both"/>
      </w:pPr>
      <w:r>
        <w:t xml:space="preserve">Zastosowano otwarty katalog </w:t>
      </w:r>
      <w:r w:rsidR="00F35A44">
        <w:t>kryteriów, ze względu na które mogą zostać popełnione przestępstwa uznawane za motywowane uprzedzeniami.</w:t>
      </w:r>
      <w:r w:rsidR="00B972F0">
        <w:t xml:space="preserve"> Czyny zakwalifikowano do czterech kategorii (patrz poniżej). Ostatecznie, mimo wątpliwości, nie zakwalifikowano żadnego z czynów do kategorii motywowanego uprzedzeniami ze względu na płeć, mimo, iż opis czynu wskazywał, że płeć żeńska ofiary odgrywała rolę w procesie decyzyjnym sprawcy. Czyny te jednak wykazywały jednak większe podobieństwo do zjawiska przemocy ze względu na płeć</w:t>
      </w:r>
      <w:r w:rsidR="002267D1">
        <w:t xml:space="preserve"> (np. przemoc domowa),</w:t>
      </w:r>
      <w:r w:rsidR="00B972F0">
        <w:t xml:space="preserve"> tym samym aby uniknąć niejasności i podwójnej kwalifikacji, nie zakwalifikowano ich do przestępstw motywowanych uprzedzeniami.</w:t>
      </w:r>
    </w:p>
    <w:p w:rsidR="00FA1473" w:rsidRDefault="00F35A44" w:rsidP="00F35A44">
      <w:pPr>
        <w:jc w:val="both"/>
      </w:pPr>
      <w:r>
        <w:t xml:space="preserve"> </w:t>
      </w:r>
    </w:p>
    <w:p w:rsidR="00F35A44" w:rsidRDefault="008D5FAB">
      <w:pPr>
        <w:rPr>
          <w:b/>
        </w:rPr>
      </w:pPr>
      <w:r w:rsidRPr="00D937AB">
        <w:rPr>
          <w:b/>
        </w:rPr>
        <w:t xml:space="preserve">Katalog okoliczności </w:t>
      </w:r>
      <w:r w:rsidR="00D937AB" w:rsidRPr="00D937AB">
        <w:rPr>
          <w:b/>
        </w:rPr>
        <w:t>świadczących o tym, iż sprawca z duży</w:t>
      </w:r>
      <w:r w:rsidR="00F35A44">
        <w:rPr>
          <w:b/>
        </w:rPr>
        <w:t>m prawdopodobieństwem działał  z powodu uprzedzeń</w:t>
      </w:r>
    </w:p>
    <w:p w:rsidR="00D937AB" w:rsidRDefault="00C65B72">
      <w:pPr>
        <w:rPr>
          <w:b/>
        </w:rPr>
      </w:pPr>
      <w:r>
        <w:rPr>
          <w:b/>
        </w:rPr>
        <w:t>1/</w:t>
      </w:r>
      <w:r w:rsidR="00D937AB">
        <w:rPr>
          <w:b/>
        </w:rPr>
        <w:t>Przestępstwa popełniane wobec osób starszych</w:t>
      </w:r>
    </w:p>
    <w:p w:rsidR="00C65B72" w:rsidRDefault="00C65B72" w:rsidP="00FA1473">
      <w:pPr>
        <w:pStyle w:val="Akapitzlist"/>
        <w:numPr>
          <w:ilvl w:val="0"/>
          <w:numId w:val="4"/>
        </w:numPr>
      </w:pPr>
      <w:r w:rsidRPr="00C65B72">
        <w:t xml:space="preserve">Czynom towarzyszą </w:t>
      </w:r>
      <w:r w:rsidR="00C8265D">
        <w:t xml:space="preserve">zniewagi </w:t>
      </w:r>
      <w:r w:rsidRPr="00C65B72">
        <w:t xml:space="preserve"> </w:t>
      </w:r>
      <w:r w:rsidR="00C8265D">
        <w:t xml:space="preserve">bądź szyderstwa </w:t>
      </w:r>
      <w:r w:rsidRPr="00C65B72">
        <w:t>m.in. „staruch”,</w:t>
      </w:r>
      <w:r w:rsidR="00165271">
        <w:t xml:space="preserve"> </w:t>
      </w:r>
      <w:r w:rsidR="00327CBC">
        <w:t>„dziad”, „śmierdziel”, „stara ku***a”</w:t>
      </w:r>
      <w:r w:rsidR="00531A26">
        <w:t xml:space="preserve">, „moherowy beret”, </w:t>
      </w:r>
      <w:r w:rsidR="00327CBC">
        <w:t xml:space="preserve"> </w:t>
      </w:r>
      <w:r>
        <w:t xml:space="preserve">sugestie </w:t>
      </w:r>
      <w:r w:rsidRPr="00C65B72">
        <w:t xml:space="preserve"> iż osoby w wieku </w:t>
      </w:r>
      <w:r w:rsidR="002267D1">
        <w:t xml:space="preserve">ofiary </w:t>
      </w:r>
      <w:r w:rsidRPr="00C65B72">
        <w:t>nie powinny się pojawiać w miejscach publicznych/wychodzić z domu itd.</w:t>
      </w:r>
    </w:p>
    <w:p w:rsidR="00BF6D9A" w:rsidRDefault="00BF6D9A" w:rsidP="00FA1473">
      <w:pPr>
        <w:pStyle w:val="Akapitzlist"/>
        <w:numPr>
          <w:ilvl w:val="0"/>
          <w:numId w:val="4"/>
        </w:numPr>
      </w:pPr>
      <w:r>
        <w:t>Do popełnienia czynu dochodzi na skutek zniecierpliwienia sprawcy nieporadnością ofiary (np.</w:t>
      </w:r>
      <w:r w:rsidR="002267D1">
        <w:t xml:space="preserve"> wolno wychodzi z autobusu/</w:t>
      </w:r>
      <w:r>
        <w:t>sklepu, wolno wchodzi</w:t>
      </w:r>
      <w:r w:rsidR="002267D1">
        <w:t xml:space="preserve">/schodzi </w:t>
      </w:r>
      <w:r>
        <w:t xml:space="preserve"> po schodach, </w:t>
      </w:r>
      <w:r w:rsidR="002267D1">
        <w:t>tarasuje przejście/przejazd</w:t>
      </w:r>
      <w:r>
        <w:t>)</w:t>
      </w:r>
      <w:r w:rsidR="004709D6">
        <w:t>, a zachowanie sprawcy jest niewspółmierne do dolegliwości przez niego doznanej</w:t>
      </w:r>
    </w:p>
    <w:p w:rsidR="00C8265D" w:rsidRDefault="007E5782" w:rsidP="00FA1473">
      <w:pPr>
        <w:pStyle w:val="Akapitzlist"/>
        <w:numPr>
          <w:ilvl w:val="0"/>
          <w:numId w:val="4"/>
        </w:numPr>
      </w:pPr>
      <w:r w:rsidRPr="007E5782">
        <w:t xml:space="preserve">Czyn polega na naruszeniu nietykalności cielesnej bądź </w:t>
      </w:r>
      <w:r w:rsidR="00F35A44">
        <w:t xml:space="preserve">stosowaniu </w:t>
      </w:r>
      <w:r w:rsidRPr="007E5782">
        <w:t>przemocy wobec osoby, która w ograniczonym stopniu</w:t>
      </w:r>
      <w:r w:rsidR="00327CBC">
        <w:t xml:space="preserve"> może się obronić bądź uciec  (</w:t>
      </w:r>
      <w:r w:rsidRPr="007E5782">
        <w:t>niepełn</w:t>
      </w:r>
      <w:r w:rsidR="00F35A44">
        <w:t>osprawność ruchowa, ociemniałoś</w:t>
      </w:r>
      <w:r w:rsidR="00B972F0">
        <w:t>ć</w:t>
      </w:r>
      <w:r w:rsidR="00F35A44">
        <w:t>, bardzo zaawansowany wiek</w:t>
      </w:r>
      <w:r w:rsidRPr="007E5782">
        <w:t xml:space="preserve"> itp.) przy jednoczesnym braku innej motywacji sprawcy</w:t>
      </w:r>
    </w:p>
    <w:p w:rsidR="00570A57" w:rsidRDefault="00570A57" w:rsidP="00FA1473">
      <w:pPr>
        <w:pStyle w:val="Akapitzlist"/>
        <w:numPr>
          <w:ilvl w:val="0"/>
          <w:numId w:val="4"/>
        </w:numPr>
      </w:pPr>
      <w:r>
        <w:t>Sprawca dopuszcza się czynu „sprowokowany” zwróceniem mu uwagi przez osobę starszą (np. hałas, śmiecenie, nieustąpienie miejsca w komunikacji publicznej) , jednak jego reakcja jest niewspółmierna do sytuacji np. polega na stosowaniu przemocy, naruszeniu nietykalności cielesnej</w:t>
      </w:r>
    </w:p>
    <w:p w:rsidR="00531A26" w:rsidRDefault="00531A26" w:rsidP="00FA1473">
      <w:pPr>
        <w:pStyle w:val="Akapitzlist"/>
        <w:numPr>
          <w:ilvl w:val="0"/>
          <w:numId w:val="4"/>
        </w:numPr>
      </w:pPr>
      <w:r>
        <w:t>Czyn popełniony z chęci osiągniecia korzyści majątkowej ( kradzież, rozbój, przywłaszczenie), jednak towarzyszy mu naruszenie godności osoby starszej  nieusprawiedliwione celem  działania np. wyśmiewanie, upokarzanie</w:t>
      </w:r>
    </w:p>
    <w:p w:rsidR="00165271" w:rsidRPr="00C65B72" w:rsidRDefault="00165271"/>
    <w:p w:rsidR="00D937AB" w:rsidRDefault="00C65B72">
      <w:pPr>
        <w:rPr>
          <w:b/>
        </w:rPr>
      </w:pPr>
      <w:r>
        <w:rPr>
          <w:b/>
        </w:rPr>
        <w:t>2/</w:t>
      </w:r>
      <w:r w:rsidR="00D937AB">
        <w:rPr>
          <w:b/>
        </w:rPr>
        <w:t>Przestępstwa popełniane ze względu na niepełnosprawność</w:t>
      </w:r>
    </w:p>
    <w:p w:rsidR="00645317" w:rsidRDefault="00645317" w:rsidP="00FA1473">
      <w:pPr>
        <w:pStyle w:val="Akapitzlist"/>
        <w:numPr>
          <w:ilvl w:val="0"/>
          <w:numId w:val="3"/>
        </w:numPr>
      </w:pPr>
      <w:r>
        <w:t>Czynom towarzyszą w</w:t>
      </w:r>
      <w:r w:rsidRPr="00645317">
        <w:t xml:space="preserve">yzwiska </w:t>
      </w:r>
      <w:r w:rsidR="00C8265D">
        <w:t>bądź szyderstwa</w:t>
      </w:r>
      <w:r w:rsidRPr="00645317">
        <w:t>– „niedorozwój”, „koślawiec”</w:t>
      </w:r>
      <w:r w:rsidR="00C8265D">
        <w:t>, „połamaniec”,</w:t>
      </w:r>
      <w:r w:rsidR="004709D6">
        <w:t xml:space="preserve"> ”kaleka”,</w:t>
      </w:r>
      <w:r w:rsidR="004709D6" w:rsidRPr="004709D6">
        <w:t xml:space="preserve"> sugestie  iż osoby </w:t>
      </w:r>
      <w:r w:rsidR="002267D1">
        <w:t xml:space="preserve">rodzaju ofiary w </w:t>
      </w:r>
      <w:r w:rsidR="004709D6" w:rsidRPr="004709D6">
        <w:t>nie powinny się pojawiać w miejscach publicznych/wychodzić z domu itd.</w:t>
      </w:r>
      <w:r w:rsidR="004709D6">
        <w:t xml:space="preserve"> </w:t>
      </w:r>
    </w:p>
    <w:p w:rsidR="00C8265D" w:rsidRDefault="00C8265D" w:rsidP="00FA1473">
      <w:pPr>
        <w:pStyle w:val="Akapitzlist"/>
        <w:numPr>
          <w:ilvl w:val="0"/>
          <w:numId w:val="3"/>
        </w:numPr>
      </w:pPr>
      <w:r w:rsidRPr="00C8265D">
        <w:t>Zniewagi polegają na użyciu słów:</w:t>
      </w:r>
      <w:r w:rsidR="004709D6" w:rsidRPr="004709D6">
        <w:t xml:space="preserve"> </w:t>
      </w:r>
      <w:r w:rsidR="002267D1">
        <w:t>„</w:t>
      </w:r>
      <w:r w:rsidR="004709D6" w:rsidRPr="00645317">
        <w:t>niedorozwój”, „koślawiec”</w:t>
      </w:r>
      <w:r w:rsidR="004709D6">
        <w:t>, „połamaniec”, „kaleka”</w:t>
      </w:r>
    </w:p>
    <w:p w:rsidR="004709D6" w:rsidRDefault="004709D6" w:rsidP="00FA1473">
      <w:pPr>
        <w:pStyle w:val="Akapitzlist"/>
        <w:numPr>
          <w:ilvl w:val="0"/>
          <w:numId w:val="3"/>
        </w:numPr>
      </w:pPr>
      <w:r>
        <w:lastRenderedPageBreak/>
        <w:t>Sprawca dokonuje zaboru przedmiotu wspomagającego funkcjonowanie czy porusz</w:t>
      </w:r>
      <w:r w:rsidR="002267D1">
        <w:t>anie ofiary</w:t>
      </w:r>
      <w:r>
        <w:t xml:space="preserve"> (kula, wózek inwalidzki, aparat słuchowy, okulary</w:t>
      </w:r>
      <w:r w:rsidR="002267D1">
        <w:t>, obuwie ortopedyczne</w:t>
      </w:r>
      <w:r>
        <w:t xml:space="preserve">) i umieszcza go poza jej zasięgiem </w:t>
      </w:r>
    </w:p>
    <w:p w:rsidR="004709D6" w:rsidRDefault="004709D6" w:rsidP="00FA1473">
      <w:pPr>
        <w:pStyle w:val="Akapitzlist"/>
        <w:numPr>
          <w:ilvl w:val="0"/>
          <w:numId w:val="3"/>
        </w:numPr>
      </w:pPr>
      <w:r>
        <w:t>Sprawca niszczy bądź kradnie przedmiot wspomagający funkcjonowanie czy poruszanie osoby niepełnosprawnej ( kula, wózek inwalidzki, aparat słuchowy, okulary</w:t>
      </w:r>
      <w:r w:rsidR="002267D1">
        <w:t>, obuwie ortopedyczne</w:t>
      </w:r>
      <w:r>
        <w:t xml:space="preserve"> ) w jej obecności </w:t>
      </w:r>
    </w:p>
    <w:p w:rsidR="004709D6" w:rsidRDefault="004709D6" w:rsidP="00FA1473">
      <w:pPr>
        <w:pStyle w:val="Akapitzlist"/>
        <w:numPr>
          <w:ilvl w:val="0"/>
          <w:numId w:val="3"/>
        </w:numPr>
      </w:pPr>
      <w:r w:rsidRPr="004709D6">
        <w:t>Sprawca niszczy przedmiot wspomagający funkcjonowanie czy poru</w:t>
      </w:r>
      <w:r>
        <w:t>szanie osoby niepełnosprawnej (</w:t>
      </w:r>
      <w:r w:rsidRPr="004709D6">
        <w:t>kula, wózek inwalidzki, aparat słuchowy, okulary</w:t>
      </w:r>
      <w:r w:rsidR="002267D1">
        <w:t>, obuwie ortopedyczne</w:t>
      </w:r>
      <w:r w:rsidRPr="004709D6">
        <w:t xml:space="preserve"> )</w:t>
      </w:r>
      <w:r>
        <w:t xml:space="preserve"> pod jej nieobecność, zostawiając napis wskazujący na </w:t>
      </w:r>
      <w:r w:rsidR="00F35A44">
        <w:t xml:space="preserve">uprzedzenia bądź zniszczeń dokonuje wielokrotnie i regularnie  </w:t>
      </w:r>
      <w:r>
        <w:t xml:space="preserve"> </w:t>
      </w:r>
    </w:p>
    <w:p w:rsidR="004709D6" w:rsidRDefault="004709D6" w:rsidP="002267D1">
      <w:pPr>
        <w:pStyle w:val="Akapitzlist"/>
        <w:numPr>
          <w:ilvl w:val="0"/>
          <w:numId w:val="3"/>
        </w:numPr>
      </w:pPr>
      <w:r w:rsidRPr="004709D6">
        <w:t xml:space="preserve">Do popełnienia czynu dochodzi na skutek zniecierpliwienia sprawcy nieporadnością ofiary </w:t>
      </w:r>
      <w:r w:rsidR="002267D1" w:rsidRPr="002267D1">
        <w:t>(np. wolno wychodzi z autobusu/sklepu, wolno wchodzi/schodzi  po schodach, tarasuje przejście/przejazd)</w:t>
      </w:r>
      <w:r w:rsidRPr="004709D6">
        <w:t>, a zachowanie sprawcy jest niewspółmierne do dolegliwości przez niego doznanej</w:t>
      </w:r>
    </w:p>
    <w:p w:rsidR="00327CBC" w:rsidRDefault="007E5782" w:rsidP="00FA1473">
      <w:pPr>
        <w:pStyle w:val="Akapitzlist"/>
        <w:numPr>
          <w:ilvl w:val="0"/>
          <w:numId w:val="3"/>
        </w:numPr>
      </w:pPr>
      <w:r>
        <w:t xml:space="preserve">Czyn polega na naruszeniu nietykalności cielesnej bądź przemocy wobec osoby, która w ograniczonym stopniu może się obronić bądź uciec </w:t>
      </w:r>
      <w:r w:rsidR="00F35A44">
        <w:t xml:space="preserve"> (</w:t>
      </w:r>
      <w:r>
        <w:t>niepełnosprawność ruchowa, ociemniałość itp.) przy jednoczesnym braku innej motywacji sprawcy</w:t>
      </w:r>
      <w:r w:rsidR="00327CBC">
        <w:t>.</w:t>
      </w:r>
    </w:p>
    <w:p w:rsidR="004709D6" w:rsidRDefault="00327CBC" w:rsidP="00FA1473">
      <w:pPr>
        <w:pStyle w:val="Akapitzlist"/>
        <w:numPr>
          <w:ilvl w:val="0"/>
          <w:numId w:val="3"/>
        </w:numPr>
      </w:pPr>
      <w:r>
        <w:t>Czyn polega na przejęciu kontroli nad wózkiem inwalidzkim, wbrew woli ofiary, w chwili gdy ta z niego korzysta</w:t>
      </w:r>
      <w:r w:rsidR="00FA1473">
        <w:t xml:space="preserve"> </w:t>
      </w:r>
    </w:p>
    <w:p w:rsidR="00531A26" w:rsidRPr="00531A26" w:rsidRDefault="00531A26" w:rsidP="00531A26">
      <w:pPr>
        <w:pStyle w:val="Akapitzlist"/>
        <w:numPr>
          <w:ilvl w:val="0"/>
          <w:numId w:val="3"/>
        </w:numPr>
      </w:pPr>
      <w:r w:rsidRPr="00531A26">
        <w:t xml:space="preserve">Czyn popełniony z chęci osiągniecia korzyści majątkowej ( kradzież, rozbój, przywłaszczenie), jednak towarzyszy mu naruszenie godności osoby </w:t>
      </w:r>
      <w:r>
        <w:t xml:space="preserve">niepełnosprawnej </w:t>
      </w:r>
      <w:r w:rsidRPr="00531A26">
        <w:t xml:space="preserve"> nieusprawiedliwione celem  działania</w:t>
      </w:r>
      <w:r>
        <w:t xml:space="preserve">, np. wyśmiewanie, upokarzanie </w:t>
      </w:r>
    </w:p>
    <w:p w:rsidR="00531A26" w:rsidRDefault="00531A26" w:rsidP="00531A26">
      <w:pPr>
        <w:pStyle w:val="Akapitzlist"/>
      </w:pPr>
    </w:p>
    <w:p w:rsidR="004709D6" w:rsidRPr="00645317" w:rsidRDefault="004709D6"/>
    <w:p w:rsidR="00C65B72" w:rsidRDefault="00C65B72">
      <w:pPr>
        <w:rPr>
          <w:b/>
        </w:rPr>
      </w:pPr>
      <w:r>
        <w:rPr>
          <w:b/>
        </w:rPr>
        <w:t>3/ przestępstwa motywowane uprzedzeniami rasistowskimi oraz religijnymi</w:t>
      </w:r>
    </w:p>
    <w:p w:rsidR="00165271" w:rsidRDefault="00165271" w:rsidP="00FA1473">
      <w:pPr>
        <w:pStyle w:val="Akapitzlist"/>
        <w:numPr>
          <w:ilvl w:val="0"/>
          <w:numId w:val="2"/>
        </w:numPr>
      </w:pPr>
      <w:r w:rsidRPr="00165271">
        <w:t xml:space="preserve">Czynom towarzyszą wyzwiska: </w:t>
      </w:r>
      <w:r w:rsidR="00327CBC">
        <w:t>„</w:t>
      </w:r>
      <w:r w:rsidRPr="00165271">
        <w:t>brudas</w:t>
      </w:r>
      <w:r w:rsidR="00327CBC">
        <w:t>”, „A</w:t>
      </w:r>
      <w:r w:rsidRPr="00165271">
        <w:t>rab</w:t>
      </w:r>
      <w:r w:rsidR="00327CBC">
        <w:t>”</w:t>
      </w:r>
      <w:r w:rsidRPr="00165271">
        <w:t xml:space="preserve">, </w:t>
      </w:r>
      <w:r w:rsidR="00327CBC">
        <w:t>„</w:t>
      </w:r>
      <w:r w:rsidR="004709D6">
        <w:t>asfalt</w:t>
      </w:r>
      <w:r w:rsidR="00327CBC">
        <w:t>”</w:t>
      </w:r>
      <w:r w:rsidR="004709D6">
        <w:t xml:space="preserve">, </w:t>
      </w:r>
      <w:r w:rsidR="00327CBC">
        <w:t>„</w:t>
      </w:r>
      <w:r w:rsidR="004709D6">
        <w:t>małpa</w:t>
      </w:r>
      <w:r w:rsidR="00327CBC">
        <w:t>”</w:t>
      </w:r>
      <w:r w:rsidR="004709D6">
        <w:t>,</w:t>
      </w:r>
      <w:r w:rsidR="00327CBC">
        <w:t xml:space="preserve"> „śmierdziel”, „</w:t>
      </w:r>
      <w:proofErr w:type="spellStart"/>
      <w:r w:rsidR="00327CBC">
        <w:t>czarnuch”,„ruski</w:t>
      </w:r>
      <w:proofErr w:type="spellEnd"/>
      <w:r w:rsidR="00327CBC">
        <w:t>”</w:t>
      </w:r>
      <w:r w:rsidR="00F35A44">
        <w:t xml:space="preserve">, </w:t>
      </w:r>
      <w:r w:rsidR="00327CBC">
        <w:t xml:space="preserve"> </w:t>
      </w:r>
      <w:r w:rsidR="004709D6">
        <w:t xml:space="preserve"> </w:t>
      </w:r>
      <w:r w:rsidRPr="00165271">
        <w:t>sugestie, iż pokrzywdzony powinien „wracać tam, skąd przyjechał”, stwierdzenia, iż „ nie chcemy tu takich ( tu następuje określenie grupy, do której sprawca zalicza ofiarę)</w:t>
      </w:r>
      <w:r w:rsidR="00FA1473">
        <w:t xml:space="preserve"> UWAGA: pokrzywdzony może nie rozumieć znaczenia słów a tym samym nie być w stanie ich zapamiętać. W takim przypadku powinno wystarczyć, iż sama ofiara jest przekonana  o motywacji sprawcy</w:t>
      </w:r>
    </w:p>
    <w:p w:rsidR="00327CBC" w:rsidRDefault="00165271" w:rsidP="00FA1473">
      <w:pPr>
        <w:pStyle w:val="Akapitzlist"/>
        <w:numPr>
          <w:ilvl w:val="0"/>
          <w:numId w:val="2"/>
        </w:numPr>
      </w:pPr>
      <w:r>
        <w:t>Zniewagi polegają na użyciu słów: „brudas”,</w:t>
      </w:r>
      <w:r w:rsidR="00BF6D9A">
        <w:t xml:space="preserve"> </w:t>
      </w:r>
      <w:r w:rsidR="00F35A44">
        <w:t>„</w:t>
      </w:r>
      <w:r w:rsidR="00BF6D9A">
        <w:t xml:space="preserve">czarna/ arabska/ brudna/niemiecka  (itp.) </w:t>
      </w:r>
      <w:r w:rsidR="00F35A44">
        <w:t xml:space="preserve">świnia”, </w:t>
      </w:r>
      <w:r w:rsidR="00327CBC" w:rsidRPr="00327CBC">
        <w:t xml:space="preserve"> „asfalt”, „ma</w:t>
      </w:r>
      <w:r w:rsidR="00327CBC">
        <w:t>łpa”, „śmierdziel”, „czarnuch”</w:t>
      </w:r>
      <w:r w:rsidR="005C0D05">
        <w:t>. UWAGA: jw.</w:t>
      </w:r>
    </w:p>
    <w:p w:rsidR="00327CBC" w:rsidRDefault="00327CBC" w:rsidP="00FA1473">
      <w:pPr>
        <w:pStyle w:val="Akapitzlist"/>
        <w:numPr>
          <w:ilvl w:val="0"/>
          <w:numId w:val="2"/>
        </w:numPr>
      </w:pPr>
      <w:r>
        <w:t>Sprawcy atakują ofiarę w pobliżu meczetu/kościoła/zboru/ cerkwi</w:t>
      </w:r>
      <w:r w:rsidR="00B972F0">
        <w:t xml:space="preserve">, miejsca kultu </w:t>
      </w:r>
    </w:p>
    <w:p w:rsidR="00327CBC" w:rsidRDefault="00327CBC" w:rsidP="00FA1473">
      <w:pPr>
        <w:pStyle w:val="Akapitzlist"/>
        <w:numPr>
          <w:ilvl w:val="0"/>
          <w:numId w:val="2"/>
        </w:numPr>
      </w:pPr>
      <w:r>
        <w:t xml:space="preserve">Sprawcy atakują ofiarę w pobliżu centrum kultury określonej mniejszości narodowej, czy  klubu/dyskoteki , gdzie często pojawiają się osoby o innej narodowości/pochodzeniu/kolorze skóry itp. </w:t>
      </w:r>
    </w:p>
    <w:p w:rsidR="00327CBC" w:rsidRDefault="00327CBC" w:rsidP="00FA1473">
      <w:pPr>
        <w:pStyle w:val="Akapitzlist"/>
        <w:numPr>
          <w:ilvl w:val="0"/>
          <w:numId w:val="2"/>
        </w:numPr>
      </w:pPr>
      <w:r>
        <w:t>Sprawcy atakują bądź znieważają partnerkę/partnera  osoby o innym pochodzeniu, narodowości</w:t>
      </w:r>
      <w:r w:rsidR="00570A57">
        <w:t xml:space="preserve"> bądź kolorze skóry wskazując na niedopuszczalność jej/go  związku z taką osobą </w:t>
      </w:r>
      <w:r>
        <w:t xml:space="preserve"> </w:t>
      </w:r>
    </w:p>
    <w:p w:rsidR="00570A57" w:rsidRDefault="00570A57" w:rsidP="00FA1473">
      <w:pPr>
        <w:pStyle w:val="Akapitzlist"/>
        <w:numPr>
          <w:ilvl w:val="0"/>
          <w:numId w:val="2"/>
        </w:numPr>
      </w:pPr>
      <w:r>
        <w:t>Sprawcy regularnie dokonują zniszczenia mienia osoby w miejscu jej pracy czy zamieszkania, nie niszcząc mienia innych osób (np. drzwi do mieszkania, samochód)</w:t>
      </w:r>
    </w:p>
    <w:p w:rsidR="00F35A44" w:rsidRDefault="00F35A44" w:rsidP="00FA1473">
      <w:pPr>
        <w:pStyle w:val="Akapitzlist"/>
        <w:numPr>
          <w:ilvl w:val="0"/>
          <w:numId w:val="2"/>
        </w:numPr>
      </w:pPr>
      <w:r>
        <w:t xml:space="preserve">Czynom towarzyszą komentarze dotyczące kraju pochodzenia ofiary bądź poczynań  innych przedstawicieli tego kraju/grupy etnicznej </w:t>
      </w:r>
      <w:r w:rsidR="005C0D05">
        <w:t>lub mają być odwetem za takie działania</w:t>
      </w:r>
      <w:r>
        <w:t xml:space="preserve">, które w opinii sprawców są naganne (np. </w:t>
      </w:r>
      <w:r w:rsidR="005C0D05">
        <w:t>odwet za ataki terrorystyczne dokonywane</w:t>
      </w:r>
      <w:r>
        <w:t xml:space="preserve"> przez osoby wyznające islam)</w:t>
      </w:r>
    </w:p>
    <w:p w:rsidR="00B972F0" w:rsidRDefault="00B972F0" w:rsidP="00FA1473">
      <w:pPr>
        <w:pStyle w:val="Akapitzlist"/>
        <w:numPr>
          <w:ilvl w:val="0"/>
          <w:numId w:val="2"/>
        </w:numPr>
      </w:pPr>
      <w:r>
        <w:lastRenderedPageBreak/>
        <w:t xml:space="preserve">Sprawcy przynależą bądź utożsamiają się z grupami wyznającymi wartości faszystowskie lub nacjonalistyczne </w:t>
      </w:r>
    </w:p>
    <w:p w:rsidR="002267D1" w:rsidRDefault="002267D1" w:rsidP="00FA1473">
      <w:pPr>
        <w:pStyle w:val="Akapitzlist"/>
        <w:numPr>
          <w:ilvl w:val="0"/>
          <w:numId w:val="2"/>
        </w:numPr>
      </w:pPr>
      <w:r>
        <w:t xml:space="preserve">Sprawcy należą do tzw. kiboli – fanatycznych kibiców klubów piłkarskich </w:t>
      </w:r>
    </w:p>
    <w:p w:rsidR="00165271" w:rsidRDefault="00165271">
      <w:pPr>
        <w:rPr>
          <w:b/>
        </w:rPr>
      </w:pPr>
    </w:p>
    <w:p w:rsidR="00C65B72" w:rsidRDefault="00C65B72">
      <w:pPr>
        <w:rPr>
          <w:b/>
        </w:rPr>
      </w:pPr>
      <w:r>
        <w:rPr>
          <w:b/>
        </w:rPr>
        <w:t>4/przestępstwa motywowane uprzedzeniami ze względu na orientację seksualną i tożsamość płciową</w:t>
      </w:r>
    </w:p>
    <w:p w:rsidR="00165271" w:rsidRPr="00BF6D9A" w:rsidRDefault="00165271" w:rsidP="00570A57">
      <w:pPr>
        <w:pStyle w:val="Akapitzlist"/>
        <w:numPr>
          <w:ilvl w:val="0"/>
          <w:numId w:val="1"/>
        </w:numPr>
      </w:pPr>
      <w:r w:rsidRPr="00BF6D9A">
        <w:t xml:space="preserve">Czynom towarzyszą wyzwiska: </w:t>
      </w:r>
      <w:r w:rsidR="00B972F0">
        <w:t>„</w:t>
      </w:r>
      <w:r w:rsidRPr="00BF6D9A">
        <w:t>odmieniec</w:t>
      </w:r>
      <w:r w:rsidR="00B972F0">
        <w:t>”</w:t>
      </w:r>
      <w:r w:rsidRPr="00BF6D9A">
        <w:t>,</w:t>
      </w:r>
      <w:r w:rsidR="00FA1473">
        <w:t xml:space="preserve"> </w:t>
      </w:r>
      <w:r w:rsidR="00B972F0">
        <w:t>„</w:t>
      </w:r>
      <w:r w:rsidR="00FA1473">
        <w:t>popapraniec</w:t>
      </w:r>
      <w:r w:rsidR="00B972F0">
        <w:t>”</w:t>
      </w:r>
      <w:r w:rsidR="00FA1473">
        <w:t xml:space="preserve">, </w:t>
      </w:r>
      <w:r w:rsidRPr="00BF6D9A">
        <w:t xml:space="preserve"> </w:t>
      </w:r>
      <w:r w:rsidR="00B972F0">
        <w:t>„</w:t>
      </w:r>
      <w:r w:rsidR="00BF6D9A" w:rsidRPr="00BF6D9A">
        <w:t>pedał</w:t>
      </w:r>
      <w:r w:rsidR="00B972F0">
        <w:t>”</w:t>
      </w:r>
      <w:r w:rsidR="00BF6D9A" w:rsidRPr="00BF6D9A">
        <w:t xml:space="preserve">, </w:t>
      </w:r>
      <w:r w:rsidR="00B972F0">
        <w:t>„</w:t>
      </w:r>
      <w:r w:rsidR="00BF6D9A" w:rsidRPr="00BF6D9A">
        <w:t>lesba</w:t>
      </w:r>
      <w:r w:rsidR="00B972F0">
        <w:t>”</w:t>
      </w:r>
      <w:r w:rsidR="00BF6D9A" w:rsidRPr="00BF6D9A">
        <w:t xml:space="preserve">, </w:t>
      </w:r>
      <w:r w:rsidR="00B972F0">
        <w:t>„</w:t>
      </w:r>
      <w:r w:rsidR="00BF6D9A" w:rsidRPr="00BF6D9A">
        <w:t>ciota</w:t>
      </w:r>
      <w:r w:rsidR="00B972F0">
        <w:t>”</w:t>
      </w:r>
      <w:r w:rsidR="00BF6D9A" w:rsidRPr="00BF6D9A">
        <w:t xml:space="preserve">, </w:t>
      </w:r>
      <w:r w:rsidR="00B972F0">
        <w:t>„</w:t>
      </w:r>
      <w:r w:rsidR="00BF6D9A" w:rsidRPr="00BF6D9A">
        <w:t>pederasta</w:t>
      </w:r>
      <w:r w:rsidR="00B972F0">
        <w:t>”</w:t>
      </w:r>
      <w:r w:rsidR="00570A57">
        <w:t xml:space="preserve">, </w:t>
      </w:r>
      <w:r w:rsidR="00B972F0">
        <w:t xml:space="preserve">„zwyrodnialec”, </w:t>
      </w:r>
      <w:r w:rsidR="00531A26">
        <w:t xml:space="preserve">„cwel”, </w:t>
      </w:r>
      <w:r w:rsidR="00570A57">
        <w:t>sugest</w:t>
      </w:r>
      <w:r w:rsidR="00531A26">
        <w:t>ie</w:t>
      </w:r>
      <w:r w:rsidR="005C0D05">
        <w:t>,</w:t>
      </w:r>
      <w:r w:rsidR="00531A26">
        <w:t xml:space="preserve"> iż ofiara powinna się leczyć.</w:t>
      </w:r>
    </w:p>
    <w:p w:rsidR="00BF6D9A" w:rsidRPr="00BF6D9A" w:rsidRDefault="00BF6D9A" w:rsidP="00531A26">
      <w:pPr>
        <w:pStyle w:val="Akapitzlist"/>
        <w:numPr>
          <w:ilvl w:val="0"/>
          <w:numId w:val="1"/>
        </w:numPr>
      </w:pPr>
      <w:r w:rsidRPr="00BF6D9A">
        <w:t xml:space="preserve">Zniewaga polega na użyciu słów: </w:t>
      </w:r>
      <w:r w:rsidR="00531A26" w:rsidRPr="00531A26">
        <w:t>: „odmieniec”, „popapraniec”,  „pedał”, „lesba”, „ciota”, „pederasta”, „zwyrodnialec”, „cwel”</w:t>
      </w:r>
    </w:p>
    <w:p w:rsidR="00BF6D9A" w:rsidRDefault="00BF6D9A" w:rsidP="00570A57">
      <w:pPr>
        <w:pStyle w:val="Akapitzlist"/>
        <w:numPr>
          <w:ilvl w:val="0"/>
          <w:numId w:val="1"/>
        </w:numPr>
      </w:pPr>
      <w:r w:rsidRPr="00BF6D9A">
        <w:t xml:space="preserve">Czyn wywołany jest gestami czułości, </w:t>
      </w:r>
      <w:r w:rsidR="00531A26">
        <w:t xml:space="preserve">sympatii </w:t>
      </w:r>
      <w:r w:rsidRPr="00BF6D9A">
        <w:t xml:space="preserve"> między osobami tej samej płci</w:t>
      </w:r>
      <w:r w:rsidR="00570A57">
        <w:t xml:space="preserve"> </w:t>
      </w:r>
      <w:r w:rsidRPr="00BF6D9A">
        <w:t>(obejmowanie, trzymanie za rękę, przytulanie, całowanie)</w:t>
      </w:r>
    </w:p>
    <w:p w:rsidR="00BF6D9A" w:rsidRDefault="00BF6D9A" w:rsidP="00570A57">
      <w:pPr>
        <w:pStyle w:val="Akapitzlist"/>
        <w:numPr>
          <w:ilvl w:val="0"/>
          <w:numId w:val="1"/>
        </w:numPr>
      </w:pPr>
      <w:r>
        <w:t>Sprawcy wyszukują ofiar w pobliżu klubów dla osób LGBT</w:t>
      </w:r>
    </w:p>
    <w:p w:rsidR="00570A57" w:rsidRDefault="00570A57" w:rsidP="00570A57">
      <w:pPr>
        <w:pStyle w:val="Akapitzlist"/>
        <w:numPr>
          <w:ilvl w:val="0"/>
          <w:numId w:val="1"/>
        </w:numPr>
      </w:pPr>
      <w:r>
        <w:t xml:space="preserve">Silne przekonanie ofiary o motywacji </w:t>
      </w:r>
      <w:proofErr w:type="spellStart"/>
      <w:r>
        <w:t>homofobicznej</w:t>
      </w:r>
      <w:proofErr w:type="spellEnd"/>
      <w:r>
        <w:t xml:space="preserve"> sprawców, mimo braku innych okoliczności na taką motywację wskazujących, zwłaszcza gdy sprawca wiedział o orientacji seksualnej ofiary </w:t>
      </w:r>
    </w:p>
    <w:p w:rsidR="00FA1473" w:rsidRDefault="00FA1473" w:rsidP="00570A57">
      <w:pPr>
        <w:pStyle w:val="Akapitzlist"/>
        <w:numPr>
          <w:ilvl w:val="0"/>
          <w:numId w:val="1"/>
        </w:numPr>
      </w:pPr>
      <w:r>
        <w:t xml:space="preserve">Sprawcy komentują, nawet w sposób z pozoru </w:t>
      </w:r>
      <w:r w:rsidR="00F35A44">
        <w:t>nieznieważający ubiór</w:t>
      </w:r>
      <w:r>
        <w:t xml:space="preserve"> bądź wygląd ofiary </w:t>
      </w:r>
    </w:p>
    <w:p w:rsidR="002267D1" w:rsidRDefault="00531A26" w:rsidP="00570A57">
      <w:pPr>
        <w:pStyle w:val="Akapitzlist"/>
        <w:numPr>
          <w:ilvl w:val="0"/>
          <w:numId w:val="1"/>
        </w:numPr>
      </w:pPr>
      <w:r>
        <w:t>Czyn popełniony niedługo po pozyskaniu przez sprawcę wiedzy o orientacji seksualnej ofiary</w:t>
      </w:r>
    </w:p>
    <w:p w:rsidR="002267D1" w:rsidRPr="002267D1" w:rsidRDefault="00531A26" w:rsidP="002267D1">
      <w:pPr>
        <w:pStyle w:val="Akapitzlist"/>
        <w:numPr>
          <w:ilvl w:val="0"/>
          <w:numId w:val="1"/>
        </w:numPr>
      </w:pPr>
      <w:r>
        <w:t xml:space="preserve"> </w:t>
      </w:r>
      <w:r w:rsidR="002267D1" w:rsidRPr="002267D1">
        <w:t>Sprawcy przynależą bądź utożsamiają się z grupami wyznającymi wartości faszystowskie lub nacjonalistyczne</w:t>
      </w:r>
      <w:r w:rsidR="005C0D05">
        <w:t xml:space="preserve"> lub należą do tzw. kiboli </w:t>
      </w:r>
      <w:r w:rsidR="002267D1" w:rsidRPr="002267D1">
        <w:t xml:space="preserve"> </w:t>
      </w:r>
    </w:p>
    <w:p w:rsidR="00531A26" w:rsidRDefault="00531A26" w:rsidP="002267D1">
      <w:pPr>
        <w:pStyle w:val="Akapitzlist"/>
      </w:pPr>
    </w:p>
    <w:p w:rsidR="00531A26" w:rsidRPr="00BF6D9A" w:rsidRDefault="00531A26" w:rsidP="002267D1">
      <w:pPr>
        <w:pStyle w:val="Akapitzlist"/>
      </w:pPr>
    </w:p>
    <w:p w:rsidR="00C65B72" w:rsidRPr="00D937AB" w:rsidRDefault="00C65B72">
      <w:pPr>
        <w:rPr>
          <w:b/>
        </w:rPr>
      </w:pPr>
    </w:p>
    <w:sectPr w:rsidR="00C65B72" w:rsidRPr="00D9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4C01"/>
    <w:multiLevelType w:val="hybridMultilevel"/>
    <w:tmpl w:val="F2E8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54B79"/>
    <w:multiLevelType w:val="hybridMultilevel"/>
    <w:tmpl w:val="374CA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04DF4"/>
    <w:multiLevelType w:val="hybridMultilevel"/>
    <w:tmpl w:val="9C6A0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10E15"/>
    <w:multiLevelType w:val="hybridMultilevel"/>
    <w:tmpl w:val="C914A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AB"/>
    <w:rsid w:val="00165271"/>
    <w:rsid w:val="002267D1"/>
    <w:rsid w:val="00327CBC"/>
    <w:rsid w:val="00337691"/>
    <w:rsid w:val="004709D6"/>
    <w:rsid w:val="00531A26"/>
    <w:rsid w:val="00570A57"/>
    <w:rsid w:val="005C0D05"/>
    <w:rsid w:val="00645317"/>
    <w:rsid w:val="00692AD8"/>
    <w:rsid w:val="00735F98"/>
    <w:rsid w:val="007E5782"/>
    <w:rsid w:val="008D5FAB"/>
    <w:rsid w:val="00B51404"/>
    <w:rsid w:val="00B611CF"/>
    <w:rsid w:val="00B972F0"/>
    <w:rsid w:val="00BF6D9A"/>
    <w:rsid w:val="00C65B72"/>
    <w:rsid w:val="00C71354"/>
    <w:rsid w:val="00C8265D"/>
    <w:rsid w:val="00D937AB"/>
    <w:rsid w:val="00DE1015"/>
    <w:rsid w:val="00F35A44"/>
    <w:rsid w:val="00FA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A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A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Słubik</dc:creator>
  <cp:lastModifiedBy>Anna Chabiera</cp:lastModifiedBy>
  <cp:revision>3</cp:revision>
  <cp:lastPrinted>2016-11-22T09:51:00Z</cp:lastPrinted>
  <dcterms:created xsi:type="dcterms:W3CDTF">2016-11-22T07:35:00Z</dcterms:created>
  <dcterms:modified xsi:type="dcterms:W3CDTF">2016-11-22T10:04:00Z</dcterms:modified>
</cp:coreProperties>
</file>