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4B" w:rsidRDefault="00C06E4B" w:rsidP="00C06E4B">
      <w:pPr>
        <w:pStyle w:val="Nagwek4"/>
      </w:pPr>
      <w:r>
        <w:rPr>
          <w:rStyle w:val="Pogrubienie"/>
          <w:b/>
          <w:bCs/>
        </w:rPr>
        <w:t xml:space="preserve">23 października Sieć Obywatelska </w:t>
      </w:r>
      <w:proofErr w:type="spellStart"/>
      <w:r>
        <w:rPr>
          <w:rStyle w:val="Pogrubienie"/>
          <w:b/>
          <w:bCs/>
        </w:rPr>
        <w:t>Watchdog</w:t>
      </w:r>
      <w:proofErr w:type="spellEnd"/>
      <w:r>
        <w:rPr>
          <w:rStyle w:val="Pogrubienie"/>
          <w:b/>
          <w:bCs/>
        </w:rPr>
        <w:t xml:space="preserve"> Polska spotka</w:t>
      </w:r>
      <w:r w:rsidR="00B54EC4">
        <w:rPr>
          <w:rStyle w:val="Pogrubienie"/>
          <w:b/>
          <w:bCs/>
        </w:rPr>
        <w:t>ła</w:t>
      </w:r>
      <w:r>
        <w:rPr>
          <w:rStyle w:val="Pogrubienie"/>
          <w:b/>
          <w:bCs/>
        </w:rPr>
        <w:t xml:space="preserve"> się przed Naczelnym Sądem Administracyjnym z Prawem i Sprawiedliwością, Kancelarią Prezydenta RP oraz Prezesem Naczelnego Sądu Administracyjnego.</w:t>
      </w:r>
    </w:p>
    <w:p w:rsidR="00C06E4B" w:rsidRDefault="00C06E4B" w:rsidP="00C06E4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Rozprawa z Kancelarią Prezy</w:t>
      </w:r>
      <w:r w:rsidR="00B54EC4">
        <w:t>denta – udostępnienie informacji na temat ekspertyz w sprawie OFE</w:t>
      </w:r>
      <w:bookmarkStart w:id="0" w:name="_GoBack"/>
      <w:bookmarkEnd w:id="0"/>
      <w:r w:rsidR="00B54EC4">
        <w:t xml:space="preserve"> – wygrana - </w:t>
      </w:r>
      <w:r w:rsidR="00B54EC4">
        <w:rPr>
          <w:rStyle w:val="Pogrubienie"/>
        </w:rPr>
        <w:t>Naczelny Sąd Administracyjny orzekł, że imiona i nazwiska autorów ekspertyz zamawianych przez Kancelarię Prezydenta są informacją publiczną.</w:t>
      </w:r>
      <w:r w:rsidR="00B54EC4">
        <w:t xml:space="preserve"> Wyrok jest ważny w kontekście innych ekspertyz zamawianych przez rząd czy prezydenta. Wystarczy przypomnieć słynne już ekspertyzy, na które powoływał się minister </w:t>
      </w:r>
      <w:proofErr w:type="spellStart"/>
      <w:r w:rsidR="00B54EC4">
        <w:t>Waszczykowski</w:t>
      </w:r>
      <w:proofErr w:type="spellEnd"/>
      <w:r w:rsidR="00B54EC4">
        <w:t xml:space="preserve"> (dotyczyły wyboru Donalda Tuska na stanowisko przewodniczącego Rady Europejskiej) czy te zamawiane przez Andrzeja Dudę przy okazji zmian w Trybunale Konstytucyjnym.</w:t>
      </w:r>
    </w:p>
    <w:p w:rsidR="00C06E4B" w:rsidRDefault="00B54EC4" w:rsidP="00C06E4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Sp</w:t>
      </w:r>
      <w:r w:rsidR="00C06E4B">
        <w:t>rawa z Prezese</w:t>
      </w:r>
      <w:r>
        <w:t xml:space="preserve">m NSA -  opłata za udostępnienie informacji - przegrana - </w:t>
      </w:r>
      <w:r>
        <w:rPr>
          <w:rStyle w:val="Pogrubienie"/>
        </w:rPr>
        <w:t>NSA orzekł, że w przypadku wnioskowania o dokumenty z akt spraw mają zastosowanie przepisy prawa o postępowaniu przed sądami administracyjnymi, nie ustawa o dostępie do informacji publicznej i cofnął całe postępowanie do wojewódzkiego sądu administracyjnego.</w:t>
      </w:r>
      <w:r>
        <w:t xml:space="preserve"> Taka decyzja sądu może oznaczać obowiązek wnoszenia opłat za udostępnianie tego typu dokumentów i konieczność uiszczania ich przed uzyskaniem danych.</w:t>
      </w:r>
    </w:p>
    <w:p w:rsidR="00C06E4B" w:rsidRDefault="00B54EC4" w:rsidP="00C06E4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Sprawa</w:t>
      </w:r>
      <w:r w:rsidR="00C06E4B">
        <w:t xml:space="preserve"> z </w:t>
      </w:r>
      <w:proofErr w:type="spellStart"/>
      <w:r w:rsidR="00C06E4B">
        <w:t>PIS-em</w:t>
      </w:r>
      <w:proofErr w:type="spellEnd"/>
      <w:r w:rsidR="00C06E4B">
        <w:t xml:space="preserve"> </w:t>
      </w:r>
      <w:r>
        <w:t xml:space="preserve">– dostęp do notatek ze spotkania Kaczyńskiego z Orbanem - przegrana - </w:t>
      </w:r>
      <w:r>
        <w:rPr>
          <w:rStyle w:val="Pogrubienie"/>
        </w:rPr>
        <w:t>NSA stwierdził, że informacje dotyczące przebiegu spotkania prezesa partii rządzącej z premierem innego kraju nie muszą być znane opinii publicznej, ponieważ dotyczą sfery wewnętrznej partii.</w:t>
      </w:r>
      <w:r>
        <w:t xml:space="preserve"> Wyrok bardzo nas rozczarował, ponieważ dzielenia działania partii na sferę wewnętrzną i tę podlegającą społecznej kontroli może mieć poważne konsekwencje. Czy zatem partyjne spotkania z lobbystami zakwalifikujemy też do sfery wewnętrznej, nawet jeśli dotyczą partii sprawującej władzę? Czekamy na pisemne uzasadnienie wyroku i rozważamy skargę do Europejskiego Trybunału Praw Człowieka. </w:t>
      </w:r>
    </w:p>
    <w:p w:rsidR="00B54EC4" w:rsidRDefault="00B54EC4" w:rsidP="00C06E4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Sprawa z </w:t>
      </w:r>
      <w:proofErr w:type="spellStart"/>
      <w:r>
        <w:t>PIS-em</w:t>
      </w:r>
      <w:proofErr w:type="spellEnd"/>
      <w:r>
        <w:t xml:space="preserve"> – udostępnienie umów z mec. Rogalskim – wygrana - </w:t>
      </w:r>
      <w:r w:rsidRPr="00B54EC4">
        <w:rPr>
          <w:b/>
        </w:rPr>
        <w:t>Tu sąd odwołał się do szerokiego rozumienia dostępu do informacji publicznej i konieczności podlegania partii zasadom jawności. Zgodził się z nami, że umowy zawierane przez partie muszą być jawne.</w:t>
      </w:r>
      <w:r>
        <w:t xml:space="preserve"> Skład orzekający w swojej argumentacji powoływał się między innymi na orzecznictwo Trybunału Konstytucyjnego, który wielokrotnie podkreślał, że partie polityczne powinny działać jawnie, zwłaszcza w sferze finansów. Czekamy na pisemne uzasadnienie wyroku, które, mamy nadzieję, dostarczy nam argumentów do skargi do Europejskiego Trybunału Praw Człowieka na wyrok w sprawie spotkania Kaczyńskiego z Orbanem. </w:t>
      </w:r>
    </w:p>
    <w:p w:rsidR="00C06E4B" w:rsidRDefault="00C06E4B" w:rsidP="00C06E4B">
      <w:pPr>
        <w:pStyle w:val="NormalnyWeb"/>
      </w:pPr>
      <w:r>
        <w:t xml:space="preserve">Kontakt: Szymon Osowski, </w:t>
      </w:r>
      <w:hyperlink r:id="rId8" w:tgtFrame="_blank" w:history="1">
        <w:r>
          <w:rPr>
            <w:rStyle w:val="Hipercze"/>
            <w:b/>
            <w:bCs/>
          </w:rPr>
          <w:t>szymon.osowski@siecobywatelska.pl</w:t>
        </w:r>
      </w:hyperlink>
      <w:r>
        <w:rPr>
          <w:rStyle w:val="Pogrubienie"/>
        </w:rPr>
        <w:t>, tel. 697 932 643</w:t>
      </w:r>
    </w:p>
    <w:p w:rsidR="00C06E4B" w:rsidRDefault="00C06E4B" w:rsidP="00C06E4B">
      <w:pPr>
        <w:pStyle w:val="NormalnyWeb"/>
      </w:pPr>
      <w:r>
        <w:rPr>
          <w:rStyle w:val="Pogrubienie"/>
        </w:rPr>
        <w:t xml:space="preserve">Sieć Obywatelska </w:t>
      </w:r>
      <w:proofErr w:type="spellStart"/>
      <w:r>
        <w:rPr>
          <w:rStyle w:val="Pogrubienie"/>
        </w:rPr>
        <w:t>Watchdog</w:t>
      </w:r>
      <w:proofErr w:type="spellEnd"/>
      <w:r>
        <w:rPr>
          <w:rStyle w:val="Pogrubienie"/>
        </w:rPr>
        <w:t xml:space="preserve"> Polska</w:t>
      </w:r>
    </w:p>
    <w:p w:rsidR="00C06E4B" w:rsidRDefault="00C06E4B" w:rsidP="00C06E4B">
      <w:pPr>
        <w:pStyle w:val="NormalnyWeb"/>
      </w:pPr>
      <w:r>
        <w:rPr>
          <w:rStyle w:val="Pogrubienie"/>
        </w:rPr>
        <w:t>{</w:t>
      </w:r>
      <w:proofErr w:type="spellStart"/>
      <w:r>
        <w:rPr>
          <w:rStyle w:val="Pogrubienie"/>
        </w:rPr>
        <w:t>domain.address</w:t>
      </w:r>
      <w:proofErr w:type="spellEnd"/>
      <w:r>
        <w:rPr>
          <w:rStyle w:val="Pogrubienie"/>
        </w:rPr>
        <w:t>}</w:t>
      </w:r>
    </w:p>
    <w:p w:rsidR="00C06E4B" w:rsidRDefault="00C06E4B" w:rsidP="00C06E4B">
      <w:pPr>
        <w:pStyle w:val="NormalnyWeb"/>
      </w:pPr>
      <w:r>
        <w:rPr>
          <w:rStyle w:val="Pogrubienie"/>
        </w:rPr>
        <w:t xml:space="preserve">Jeśli nie chcesz otrzymywać od nas informacji, kliknij </w:t>
      </w:r>
      <w:hyperlink w:history="1">
        <w:r>
          <w:rPr>
            <w:rStyle w:val="Hipercze"/>
            <w:b/>
            <w:bCs/>
          </w:rPr>
          <w:t>tutaj</w:t>
        </w:r>
      </w:hyperlink>
      <w:r>
        <w:rPr>
          <w:rStyle w:val="Pogrubienie"/>
        </w:rPr>
        <w:t xml:space="preserve">. </w:t>
      </w:r>
    </w:p>
    <w:p w:rsidR="005D57C1" w:rsidRPr="005D57C1" w:rsidRDefault="005D57C1" w:rsidP="005D57C1"/>
    <w:sectPr w:rsidR="005D57C1" w:rsidRPr="005D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E93" w:rsidRDefault="00FE1E93" w:rsidP="005B718D">
      <w:pPr>
        <w:spacing w:after="0" w:line="240" w:lineRule="auto"/>
      </w:pPr>
      <w:r>
        <w:separator/>
      </w:r>
    </w:p>
  </w:endnote>
  <w:endnote w:type="continuationSeparator" w:id="0">
    <w:p w:rsidR="00FE1E93" w:rsidRDefault="00FE1E93" w:rsidP="005B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E93" w:rsidRDefault="00FE1E93" w:rsidP="005B718D">
      <w:pPr>
        <w:spacing w:after="0" w:line="240" w:lineRule="auto"/>
      </w:pPr>
      <w:r>
        <w:separator/>
      </w:r>
    </w:p>
  </w:footnote>
  <w:footnote w:type="continuationSeparator" w:id="0">
    <w:p w:rsidR="00FE1E93" w:rsidRDefault="00FE1E93" w:rsidP="005B7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32ECA"/>
    <w:multiLevelType w:val="multilevel"/>
    <w:tmpl w:val="5824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E9"/>
    <w:rsid w:val="000A6368"/>
    <w:rsid w:val="00163B65"/>
    <w:rsid w:val="002F7735"/>
    <w:rsid w:val="00403B21"/>
    <w:rsid w:val="00405B52"/>
    <w:rsid w:val="00487CE9"/>
    <w:rsid w:val="00553573"/>
    <w:rsid w:val="005B718D"/>
    <w:rsid w:val="005D57C1"/>
    <w:rsid w:val="005D64AC"/>
    <w:rsid w:val="005D7700"/>
    <w:rsid w:val="00612794"/>
    <w:rsid w:val="00794265"/>
    <w:rsid w:val="008069EB"/>
    <w:rsid w:val="008648D2"/>
    <w:rsid w:val="00877B9F"/>
    <w:rsid w:val="00AB2519"/>
    <w:rsid w:val="00B54EC4"/>
    <w:rsid w:val="00C06E4B"/>
    <w:rsid w:val="00CD5192"/>
    <w:rsid w:val="00D12433"/>
    <w:rsid w:val="00D34ABB"/>
    <w:rsid w:val="00DD1B74"/>
    <w:rsid w:val="00EE0DE1"/>
    <w:rsid w:val="00F02579"/>
    <w:rsid w:val="00F34E21"/>
    <w:rsid w:val="00FB280A"/>
    <w:rsid w:val="00FD5DF9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C06E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48D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71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71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718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D57C1"/>
    <w:rPr>
      <w:b/>
      <w:bCs/>
    </w:rPr>
  </w:style>
  <w:style w:type="character" w:customStyle="1" w:styleId="lrzxr">
    <w:name w:val="lrzxr"/>
    <w:basedOn w:val="Domylnaczcionkaakapitu"/>
    <w:rsid w:val="00612794"/>
  </w:style>
  <w:style w:type="character" w:customStyle="1" w:styleId="Nagwek4Znak">
    <w:name w:val="Nagłówek 4 Znak"/>
    <w:basedOn w:val="Domylnaczcionkaakapitu"/>
    <w:link w:val="Nagwek4"/>
    <w:uiPriority w:val="9"/>
    <w:rsid w:val="00C06E4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0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C06E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48D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71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71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718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D57C1"/>
    <w:rPr>
      <w:b/>
      <w:bCs/>
    </w:rPr>
  </w:style>
  <w:style w:type="character" w:customStyle="1" w:styleId="lrzxr">
    <w:name w:val="lrzxr"/>
    <w:basedOn w:val="Domylnaczcionkaakapitu"/>
    <w:rsid w:val="00612794"/>
  </w:style>
  <w:style w:type="character" w:customStyle="1" w:styleId="Nagwek4Znak">
    <w:name w:val="Nagłówek 4 Znak"/>
    <w:basedOn w:val="Domylnaczcionkaakapitu"/>
    <w:link w:val="Nagwek4"/>
    <w:uiPriority w:val="9"/>
    <w:rsid w:val="00C06E4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0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ymon.osowski@siecobywatelsk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2018-10-24T10:15:00Z</dcterms:created>
  <dcterms:modified xsi:type="dcterms:W3CDTF">2018-10-24T10:15:00Z</dcterms:modified>
</cp:coreProperties>
</file>