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66" w:rsidRPr="00E00D5C" w:rsidRDefault="00AC7D4F">
      <w:pPr>
        <w:pageBreakBefore/>
        <w:jc w:val="right"/>
        <w:rPr>
          <w:rFonts w:ascii="Times New Roman" w:hAnsi="Times New Roman" w:cs="Times New Roman"/>
          <w:sz w:val="23"/>
          <w:szCs w:val="23"/>
        </w:rPr>
      </w:pPr>
      <w:r w:rsidRPr="00E00D5C">
        <w:rPr>
          <w:rFonts w:ascii="Times New Roman" w:hAnsi="Times New Roman" w:cs="Times New Roman"/>
          <w:sz w:val="23"/>
          <w:szCs w:val="23"/>
        </w:rPr>
        <w:t>Warszawa, 19</w:t>
      </w:r>
      <w:r w:rsidR="008E4E66" w:rsidRPr="00E00D5C">
        <w:rPr>
          <w:rFonts w:ascii="Times New Roman" w:hAnsi="Times New Roman" w:cs="Times New Roman"/>
          <w:sz w:val="23"/>
          <w:szCs w:val="23"/>
        </w:rPr>
        <w:t xml:space="preserve"> </w:t>
      </w:r>
      <w:r w:rsidRPr="00E00D5C">
        <w:rPr>
          <w:rFonts w:ascii="Times New Roman" w:hAnsi="Times New Roman" w:cs="Times New Roman"/>
          <w:sz w:val="23"/>
          <w:szCs w:val="23"/>
        </w:rPr>
        <w:t>marca 2018</w:t>
      </w:r>
      <w:r w:rsidR="008E4E66" w:rsidRPr="00E00D5C">
        <w:rPr>
          <w:rFonts w:ascii="Times New Roman" w:hAnsi="Times New Roman" w:cs="Times New Roman"/>
          <w:sz w:val="23"/>
          <w:szCs w:val="23"/>
        </w:rPr>
        <w:t xml:space="preserve"> r.</w:t>
      </w:r>
    </w:p>
    <w:p w:rsidR="008E4E66" w:rsidRPr="00E00D5C" w:rsidRDefault="00E00D5C">
      <w:pPr>
        <w:rPr>
          <w:rFonts w:ascii="Times New Roman" w:hAnsi="Times New Roman" w:cs="Times New Roman"/>
          <w:i/>
          <w:sz w:val="23"/>
          <w:szCs w:val="23"/>
        </w:rPr>
      </w:pPr>
      <w:r w:rsidRPr="00E00D5C">
        <w:rPr>
          <w:rFonts w:ascii="Times New Roman" w:hAnsi="Times New Roman" w:cs="Times New Roman"/>
          <w:i/>
          <w:sz w:val="23"/>
          <w:szCs w:val="23"/>
        </w:rPr>
        <w:t>133</w:t>
      </w:r>
      <w:r w:rsidR="00AC7D4F" w:rsidRPr="00E00D5C">
        <w:rPr>
          <w:rFonts w:ascii="Times New Roman" w:hAnsi="Times New Roman" w:cs="Times New Roman"/>
          <w:i/>
          <w:sz w:val="23"/>
          <w:szCs w:val="23"/>
        </w:rPr>
        <w:t>/SO</w:t>
      </w:r>
      <w:r w:rsidRPr="00E00D5C">
        <w:rPr>
          <w:rFonts w:ascii="Times New Roman" w:hAnsi="Times New Roman" w:cs="Times New Roman"/>
          <w:i/>
          <w:sz w:val="23"/>
          <w:szCs w:val="23"/>
        </w:rPr>
        <w:t>/SOWP/2018/SOKBT</w:t>
      </w:r>
    </w:p>
    <w:p w:rsidR="008E4E66" w:rsidRPr="00E00D5C" w:rsidRDefault="008E4E66" w:rsidP="00E00D5C">
      <w:pPr>
        <w:pStyle w:val="Bezodstpw"/>
        <w:ind w:left="5103"/>
        <w:rPr>
          <w:rFonts w:ascii="Times New Roman" w:hAnsi="Times New Roman" w:cs="Times New Roman"/>
          <w:b/>
          <w:sz w:val="23"/>
          <w:szCs w:val="23"/>
        </w:rPr>
      </w:pPr>
      <w:r w:rsidRPr="00E00D5C">
        <w:rPr>
          <w:rFonts w:ascii="Times New Roman" w:hAnsi="Times New Roman" w:cs="Times New Roman"/>
          <w:b/>
          <w:sz w:val="23"/>
          <w:szCs w:val="23"/>
        </w:rPr>
        <w:t>W</w:t>
      </w:r>
      <w:r w:rsidR="00AC7D4F" w:rsidRPr="00E00D5C">
        <w:rPr>
          <w:rFonts w:ascii="Times New Roman" w:hAnsi="Times New Roman" w:cs="Times New Roman"/>
          <w:b/>
          <w:sz w:val="23"/>
          <w:szCs w:val="23"/>
        </w:rPr>
        <w:t>ojewódzki Sąd Administracyjny</w:t>
      </w:r>
      <w:r w:rsidR="00E00D5C" w:rsidRPr="00E00D5C">
        <w:rPr>
          <w:rFonts w:ascii="Times New Roman" w:hAnsi="Times New Roman" w:cs="Times New Roman"/>
          <w:b/>
          <w:sz w:val="23"/>
          <w:szCs w:val="23"/>
        </w:rPr>
        <w:t xml:space="preserve"> </w:t>
      </w:r>
      <w:r w:rsidR="00AC7D4F" w:rsidRPr="00E00D5C">
        <w:rPr>
          <w:rFonts w:ascii="Times New Roman" w:hAnsi="Times New Roman" w:cs="Times New Roman"/>
          <w:b/>
          <w:sz w:val="23"/>
          <w:szCs w:val="23"/>
        </w:rPr>
        <w:t>w Warszawie</w:t>
      </w:r>
      <w:r w:rsidRPr="00E00D5C">
        <w:rPr>
          <w:rFonts w:ascii="Times New Roman" w:hAnsi="Times New Roman" w:cs="Times New Roman"/>
          <w:sz w:val="23"/>
          <w:szCs w:val="23"/>
        </w:rPr>
        <w:br/>
      </w:r>
    </w:p>
    <w:p w:rsidR="008E4E66" w:rsidRPr="00E00D5C" w:rsidRDefault="008E4E66" w:rsidP="00E00D5C">
      <w:pPr>
        <w:ind w:left="5103"/>
        <w:rPr>
          <w:rFonts w:ascii="Times New Roman" w:hAnsi="Times New Roman" w:cs="Times New Roman"/>
          <w:sz w:val="23"/>
          <w:szCs w:val="23"/>
        </w:rPr>
      </w:pPr>
      <w:r w:rsidRPr="00E00D5C">
        <w:rPr>
          <w:rFonts w:ascii="Times New Roman" w:hAnsi="Times New Roman" w:cs="Times New Roman"/>
          <w:i/>
          <w:sz w:val="23"/>
          <w:szCs w:val="23"/>
          <w:u w:val="single"/>
        </w:rPr>
        <w:t>za pośrednictwem:</w:t>
      </w:r>
    </w:p>
    <w:p w:rsidR="00AC7D4F" w:rsidRPr="00E00D5C" w:rsidRDefault="00AC7D4F" w:rsidP="00E00D5C">
      <w:pPr>
        <w:pStyle w:val="Bezodstpw"/>
        <w:ind w:left="5103"/>
        <w:rPr>
          <w:rFonts w:ascii="Times New Roman" w:hAnsi="Times New Roman" w:cs="Times New Roman"/>
          <w:b/>
          <w:sz w:val="23"/>
          <w:szCs w:val="23"/>
        </w:rPr>
      </w:pPr>
      <w:r w:rsidRPr="00E00D5C">
        <w:rPr>
          <w:rFonts w:ascii="Times New Roman" w:hAnsi="Times New Roman" w:cs="Times New Roman"/>
          <w:b/>
          <w:sz w:val="23"/>
          <w:szCs w:val="23"/>
        </w:rPr>
        <w:t>Zarządu Polskiego Górnictwa Naftowego</w:t>
      </w:r>
    </w:p>
    <w:p w:rsidR="00AC7D4F" w:rsidRPr="00E00D5C" w:rsidRDefault="00AC7D4F" w:rsidP="00E00D5C">
      <w:pPr>
        <w:pStyle w:val="Bezodstpw"/>
        <w:ind w:left="5103"/>
        <w:rPr>
          <w:rFonts w:ascii="Times New Roman" w:hAnsi="Times New Roman" w:cs="Times New Roman"/>
          <w:b/>
          <w:sz w:val="23"/>
          <w:szCs w:val="23"/>
        </w:rPr>
      </w:pPr>
      <w:r w:rsidRPr="00E00D5C">
        <w:rPr>
          <w:rFonts w:ascii="Times New Roman" w:hAnsi="Times New Roman" w:cs="Times New Roman"/>
          <w:b/>
          <w:sz w:val="23"/>
          <w:szCs w:val="23"/>
        </w:rPr>
        <w:t>i Gazownictwo SA</w:t>
      </w:r>
    </w:p>
    <w:p w:rsidR="00AC7D4F" w:rsidRPr="00E00D5C" w:rsidRDefault="00AC7D4F" w:rsidP="00E00D5C">
      <w:pPr>
        <w:pStyle w:val="Bezodstpw"/>
        <w:ind w:left="5103"/>
        <w:rPr>
          <w:rFonts w:ascii="Times New Roman" w:hAnsi="Times New Roman" w:cs="Times New Roman"/>
          <w:sz w:val="23"/>
          <w:szCs w:val="23"/>
        </w:rPr>
      </w:pPr>
      <w:r w:rsidRPr="00E00D5C">
        <w:rPr>
          <w:rFonts w:ascii="Times New Roman" w:hAnsi="Times New Roman" w:cs="Times New Roman"/>
          <w:sz w:val="23"/>
          <w:szCs w:val="23"/>
        </w:rPr>
        <w:t>ul. Marcina Kasprzaka 25</w:t>
      </w:r>
    </w:p>
    <w:p w:rsidR="00AC7D4F" w:rsidRPr="00E00D5C" w:rsidRDefault="00AC7D4F" w:rsidP="00E00D5C">
      <w:pPr>
        <w:pStyle w:val="Bezodstpw"/>
        <w:ind w:left="5103"/>
        <w:rPr>
          <w:rFonts w:ascii="Times New Roman" w:hAnsi="Times New Roman" w:cs="Times New Roman"/>
          <w:sz w:val="23"/>
          <w:szCs w:val="23"/>
        </w:rPr>
      </w:pPr>
      <w:r w:rsidRPr="00E00D5C">
        <w:rPr>
          <w:rFonts w:ascii="Times New Roman" w:hAnsi="Times New Roman" w:cs="Times New Roman"/>
          <w:sz w:val="23"/>
          <w:szCs w:val="23"/>
        </w:rPr>
        <w:t>01-224 Warszawa</w:t>
      </w:r>
    </w:p>
    <w:p w:rsidR="00AC7D4F" w:rsidRPr="00E00D5C" w:rsidRDefault="00AC7D4F" w:rsidP="00E00D5C">
      <w:pPr>
        <w:ind w:left="5103"/>
        <w:rPr>
          <w:rFonts w:ascii="Times New Roman" w:hAnsi="Times New Roman" w:cs="Times New Roman"/>
          <w:b/>
          <w:sz w:val="23"/>
          <w:szCs w:val="23"/>
        </w:rPr>
      </w:pPr>
    </w:p>
    <w:p w:rsidR="008E4E66" w:rsidRPr="00E00D5C" w:rsidRDefault="008E4E66" w:rsidP="00E00D5C">
      <w:pPr>
        <w:ind w:left="5103"/>
        <w:rPr>
          <w:rFonts w:ascii="Times New Roman" w:hAnsi="Times New Roman" w:cs="Times New Roman"/>
          <w:sz w:val="23"/>
          <w:szCs w:val="23"/>
        </w:rPr>
      </w:pPr>
      <w:r w:rsidRPr="00E00D5C">
        <w:rPr>
          <w:rFonts w:ascii="Times New Roman" w:hAnsi="Times New Roman" w:cs="Times New Roman"/>
          <w:i/>
          <w:sz w:val="23"/>
          <w:szCs w:val="23"/>
          <w:u w:val="single"/>
        </w:rPr>
        <w:t>skarżący:</w:t>
      </w:r>
    </w:p>
    <w:p w:rsidR="008E4E66" w:rsidRPr="00E00D5C" w:rsidRDefault="008E4E66" w:rsidP="00E00D5C">
      <w:pPr>
        <w:ind w:left="5103"/>
        <w:rPr>
          <w:rFonts w:ascii="Times New Roman" w:hAnsi="Times New Roman" w:cs="Times New Roman"/>
          <w:sz w:val="23"/>
          <w:szCs w:val="23"/>
        </w:rPr>
      </w:pPr>
      <w:r w:rsidRPr="00E00D5C">
        <w:rPr>
          <w:rFonts w:ascii="Times New Roman" w:hAnsi="Times New Roman" w:cs="Times New Roman"/>
          <w:sz w:val="23"/>
          <w:szCs w:val="23"/>
        </w:rPr>
        <w:t xml:space="preserve">Sieć Obywatelska </w:t>
      </w:r>
      <w:proofErr w:type="spellStart"/>
      <w:r w:rsidRPr="00E00D5C">
        <w:rPr>
          <w:rFonts w:ascii="Times New Roman" w:hAnsi="Times New Roman" w:cs="Times New Roman"/>
          <w:sz w:val="23"/>
          <w:szCs w:val="23"/>
        </w:rPr>
        <w:t>Watchdog</w:t>
      </w:r>
      <w:proofErr w:type="spellEnd"/>
      <w:r w:rsidRPr="00E00D5C">
        <w:rPr>
          <w:rFonts w:ascii="Times New Roman" w:hAnsi="Times New Roman" w:cs="Times New Roman"/>
          <w:sz w:val="23"/>
          <w:szCs w:val="23"/>
        </w:rPr>
        <w:t xml:space="preserve"> Polska</w:t>
      </w:r>
      <w:r w:rsidRPr="00E00D5C">
        <w:rPr>
          <w:rFonts w:ascii="Times New Roman" w:hAnsi="Times New Roman" w:cs="Times New Roman"/>
          <w:sz w:val="23"/>
          <w:szCs w:val="23"/>
        </w:rPr>
        <w:br/>
        <w:t>ul. Ursynowska 22/2</w:t>
      </w:r>
      <w:r w:rsidRPr="00E00D5C">
        <w:rPr>
          <w:rFonts w:ascii="Times New Roman" w:hAnsi="Times New Roman" w:cs="Times New Roman"/>
          <w:sz w:val="23"/>
          <w:szCs w:val="23"/>
        </w:rPr>
        <w:br/>
        <w:t>02-605 Warszawa</w:t>
      </w:r>
    </w:p>
    <w:p w:rsidR="008E4E66" w:rsidRPr="00E00D5C" w:rsidRDefault="008E4E66">
      <w:pPr>
        <w:jc w:val="center"/>
        <w:rPr>
          <w:rFonts w:ascii="Times New Roman" w:hAnsi="Times New Roman" w:cs="Times New Roman"/>
          <w:sz w:val="23"/>
          <w:szCs w:val="23"/>
        </w:rPr>
      </w:pPr>
    </w:p>
    <w:p w:rsidR="008E4E66" w:rsidRPr="00E00D5C" w:rsidRDefault="008E4E66">
      <w:pPr>
        <w:jc w:val="center"/>
        <w:rPr>
          <w:rFonts w:ascii="Times New Roman" w:hAnsi="Times New Roman" w:cs="Times New Roman"/>
          <w:sz w:val="23"/>
          <w:szCs w:val="23"/>
        </w:rPr>
      </w:pPr>
      <w:r w:rsidRPr="00E00D5C">
        <w:rPr>
          <w:rFonts w:ascii="Times New Roman" w:hAnsi="Times New Roman" w:cs="Times New Roman"/>
          <w:sz w:val="23"/>
          <w:szCs w:val="23"/>
        </w:rPr>
        <w:t>SKARGA NA DECYZJĘ</w:t>
      </w:r>
    </w:p>
    <w:p w:rsidR="008E4E66" w:rsidRPr="00E00D5C" w:rsidRDefault="008E4E66" w:rsidP="00AC7D4F">
      <w:pPr>
        <w:jc w:val="both"/>
        <w:rPr>
          <w:rFonts w:ascii="Times New Roman" w:hAnsi="Times New Roman" w:cs="Times New Roman"/>
          <w:sz w:val="23"/>
          <w:szCs w:val="23"/>
        </w:rPr>
      </w:pPr>
      <w:r w:rsidRPr="00E00D5C">
        <w:rPr>
          <w:rFonts w:ascii="Times New Roman" w:hAnsi="Times New Roman" w:cs="Times New Roman"/>
          <w:sz w:val="23"/>
          <w:szCs w:val="23"/>
        </w:rPr>
        <w:t>W trybie art. 3 § 2 pkt 1 w zw. z art. 50 § 1 ustawy z dnia 30 sierpnia 2002 r. – Prawo o postępowaniu przed sądami administracyjnymi (</w:t>
      </w:r>
      <w:proofErr w:type="spellStart"/>
      <w:r w:rsidRPr="00E00D5C">
        <w:rPr>
          <w:rFonts w:ascii="Times New Roman" w:hAnsi="Times New Roman" w:cs="Times New Roman"/>
          <w:sz w:val="23"/>
          <w:szCs w:val="23"/>
        </w:rPr>
        <w:t>t.j</w:t>
      </w:r>
      <w:proofErr w:type="spellEnd"/>
      <w:r w:rsidRPr="00E00D5C">
        <w:rPr>
          <w:rFonts w:ascii="Times New Roman" w:hAnsi="Times New Roman" w:cs="Times New Roman"/>
          <w:sz w:val="23"/>
          <w:szCs w:val="23"/>
        </w:rPr>
        <w:t xml:space="preserve"> Dz. U. z 2016 r. poz. 718 ze zm.; dalej jako: PPSA) Stowarzyszenie skarży decyzję administracyjną </w:t>
      </w:r>
      <w:r w:rsidR="00AC7D4F" w:rsidRPr="00E00D5C">
        <w:rPr>
          <w:rFonts w:ascii="Times New Roman" w:hAnsi="Times New Roman" w:cs="Times New Roman"/>
          <w:sz w:val="23"/>
          <w:szCs w:val="23"/>
        </w:rPr>
        <w:t>Zarządu Polskiego Górnictwa Naftowego i Gazownictwa SA</w:t>
      </w:r>
      <w:r w:rsidRPr="00E00D5C">
        <w:rPr>
          <w:rFonts w:ascii="Times New Roman" w:hAnsi="Times New Roman" w:cs="Times New Roman"/>
          <w:sz w:val="23"/>
          <w:szCs w:val="23"/>
        </w:rPr>
        <w:t xml:space="preserve"> (dalej jako: „</w:t>
      </w:r>
      <w:r w:rsidR="00AC7D4F" w:rsidRPr="00E00D5C">
        <w:rPr>
          <w:rFonts w:ascii="Times New Roman" w:hAnsi="Times New Roman" w:cs="Times New Roman"/>
          <w:sz w:val="23"/>
          <w:szCs w:val="23"/>
        </w:rPr>
        <w:t>Podmiot zobowiązany”) z 14 lutego 2018 r., nr 1/2018</w:t>
      </w:r>
      <w:r w:rsidRPr="00E00D5C">
        <w:rPr>
          <w:rFonts w:ascii="Times New Roman" w:hAnsi="Times New Roman" w:cs="Times New Roman"/>
          <w:sz w:val="23"/>
          <w:szCs w:val="23"/>
        </w:rPr>
        <w:t>.</w:t>
      </w:r>
    </w:p>
    <w:p w:rsidR="008E4E66" w:rsidRPr="00E00D5C" w:rsidRDefault="008E4E66">
      <w:pPr>
        <w:jc w:val="both"/>
        <w:rPr>
          <w:rFonts w:ascii="Times New Roman" w:hAnsi="Times New Roman" w:cs="Times New Roman"/>
          <w:sz w:val="23"/>
          <w:szCs w:val="23"/>
        </w:rPr>
      </w:pPr>
      <w:r w:rsidRPr="00E00D5C">
        <w:rPr>
          <w:rFonts w:ascii="Times New Roman" w:hAnsi="Times New Roman" w:cs="Times New Roman"/>
          <w:sz w:val="23"/>
          <w:szCs w:val="23"/>
        </w:rPr>
        <w:t xml:space="preserve">Wydanej decyzji Stowarzyszenie </w:t>
      </w:r>
      <w:r w:rsidRPr="00E00D5C">
        <w:rPr>
          <w:rFonts w:ascii="Times New Roman" w:hAnsi="Times New Roman" w:cs="Times New Roman"/>
          <w:b/>
          <w:sz w:val="23"/>
          <w:szCs w:val="23"/>
        </w:rPr>
        <w:t>zarzuca naruszenie</w:t>
      </w:r>
      <w:r w:rsidRPr="00E00D5C">
        <w:rPr>
          <w:rFonts w:ascii="Times New Roman" w:hAnsi="Times New Roman" w:cs="Times New Roman"/>
          <w:sz w:val="23"/>
          <w:szCs w:val="23"/>
        </w:rPr>
        <w:t>:</w:t>
      </w:r>
    </w:p>
    <w:p w:rsidR="008E4E66" w:rsidRPr="00E00D5C" w:rsidRDefault="008E4E66" w:rsidP="004C4888">
      <w:pPr>
        <w:numPr>
          <w:ilvl w:val="0"/>
          <w:numId w:val="1"/>
        </w:numPr>
        <w:jc w:val="both"/>
        <w:rPr>
          <w:rFonts w:ascii="Times New Roman" w:hAnsi="Times New Roman" w:cs="Times New Roman"/>
          <w:sz w:val="23"/>
          <w:szCs w:val="23"/>
        </w:rPr>
      </w:pPr>
      <w:r w:rsidRPr="00E00D5C">
        <w:rPr>
          <w:rFonts w:ascii="Times New Roman" w:hAnsi="Times New Roman" w:cs="Times New Roman"/>
          <w:sz w:val="23"/>
          <w:szCs w:val="23"/>
        </w:rPr>
        <w:t>art. 61 ust. 1 Konstytucji RP, w zakresie w jakim przepis ten stanowi normatywną podstawę konstytucyjnego prawa do informacji publicznej, poprzez nieuprawnione – bowiem zbyt daleko idące – ograniczenie prawa do informacji publicznej,</w:t>
      </w:r>
    </w:p>
    <w:p w:rsidR="008E4E66" w:rsidRPr="00E00D5C" w:rsidRDefault="008E4E66" w:rsidP="004C4888">
      <w:pPr>
        <w:numPr>
          <w:ilvl w:val="0"/>
          <w:numId w:val="1"/>
        </w:numPr>
        <w:jc w:val="both"/>
        <w:rPr>
          <w:rFonts w:ascii="Times New Roman" w:hAnsi="Times New Roman" w:cs="Times New Roman"/>
          <w:sz w:val="23"/>
          <w:szCs w:val="23"/>
        </w:rPr>
      </w:pPr>
      <w:r w:rsidRPr="00E00D5C">
        <w:rPr>
          <w:rFonts w:ascii="Times New Roman" w:hAnsi="Times New Roman" w:cs="Times New Roman"/>
          <w:sz w:val="23"/>
          <w:szCs w:val="23"/>
        </w:rPr>
        <w:t>art. 5 ust. 2 ustawy z dnia 6 września 2001 o dostępie do informacji publicznej (Dz. U. 2016 poz. 1764 ze zm.; dalej jako: UDIP) w zakresie jakim ten przepis stanowi normatywną podstawę ograniczenia prawa do informacji publicznej poprzez nieuzasadnione zastosowanie,</w:t>
      </w:r>
    </w:p>
    <w:p w:rsidR="008E4E66" w:rsidRPr="00E00D5C" w:rsidRDefault="008E4E66" w:rsidP="004C4888">
      <w:pPr>
        <w:numPr>
          <w:ilvl w:val="0"/>
          <w:numId w:val="1"/>
        </w:numPr>
        <w:jc w:val="both"/>
        <w:rPr>
          <w:rFonts w:ascii="Times New Roman" w:hAnsi="Times New Roman" w:cs="Times New Roman"/>
          <w:sz w:val="23"/>
          <w:szCs w:val="23"/>
        </w:rPr>
      </w:pPr>
      <w:r w:rsidRPr="00E00D5C">
        <w:rPr>
          <w:rFonts w:ascii="Times New Roman" w:hAnsi="Times New Roman" w:cs="Times New Roman"/>
          <w:sz w:val="23"/>
          <w:szCs w:val="23"/>
        </w:rPr>
        <w:t>art. 11 ust. 4 ustawy z dnia 16 kwietnia 1993 roku o nieuczciwej konkurencji (Dz. U. 2017, poz. 1132; dalej jako: ustawa o nieuczciwej konkurencji) poprzez nieprawidłowe zakwalifikowanie informacji będącej przedmiotem wniosku jako tajemnicy przedsiębiorstwa bez spełnienia ustawowych przesłanek uznania informacji za takową,</w:t>
      </w:r>
    </w:p>
    <w:p w:rsidR="00C57F5F" w:rsidRPr="00E00D5C" w:rsidRDefault="00C57F5F" w:rsidP="00181E31">
      <w:pPr>
        <w:numPr>
          <w:ilvl w:val="0"/>
          <w:numId w:val="1"/>
        </w:numPr>
        <w:jc w:val="both"/>
        <w:rPr>
          <w:rFonts w:ascii="Times New Roman" w:hAnsi="Times New Roman" w:cs="Times New Roman"/>
          <w:sz w:val="23"/>
          <w:szCs w:val="23"/>
        </w:rPr>
      </w:pPr>
      <w:r w:rsidRPr="00E00D5C">
        <w:rPr>
          <w:rFonts w:ascii="Times New Roman" w:hAnsi="Times New Roman" w:cs="Times New Roman"/>
          <w:sz w:val="23"/>
          <w:szCs w:val="23"/>
        </w:rPr>
        <w:t>art. 16 ust. 2 UDIP w zw. z art. 107 § 3 KPA poprzez wydanie decyzji bez prawidłowego uzasadnienia.</w:t>
      </w:r>
    </w:p>
    <w:p w:rsidR="008E4E66" w:rsidRPr="00E00D5C" w:rsidRDefault="008E4E66">
      <w:pPr>
        <w:jc w:val="both"/>
        <w:rPr>
          <w:rFonts w:ascii="Times New Roman" w:hAnsi="Times New Roman" w:cs="Times New Roman"/>
          <w:b/>
          <w:sz w:val="23"/>
          <w:szCs w:val="23"/>
        </w:rPr>
      </w:pPr>
      <w:r w:rsidRPr="00E00D5C">
        <w:rPr>
          <w:rFonts w:ascii="Times New Roman" w:hAnsi="Times New Roman" w:cs="Times New Roman"/>
          <w:b/>
          <w:sz w:val="23"/>
          <w:szCs w:val="23"/>
        </w:rPr>
        <w:t>Stowarzyszenie wnosi o:</w:t>
      </w:r>
    </w:p>
    <w:p w:rsidR="008E4E66" w:rsidRPr="00E00D5C" w:rsidRDefault="008E4E66" w:rsidP="00AC7D4F">
      <w:pPr>
        <w:pStyle w:val="Bezodstpw"/>
        <w:numPr>
          <w:ilvl w:val="0"/>
          <w:numId w:val="6"/>
        </w:numPr>
        <w:rPr>
          <w:rFonts w:ascii="Times New Roman" w:hAnsi="Times New Roman" w:cs="Times New Roman"/>
          <w:sz w:val="23"/>
          <w:szCs w:val="23"/>
        </w:rPr>
      </w:pPr>
      <w:r w:rsidRPr="00E00D5C">
        <w:rPr>
          <w:rFonts w:ascii="Times New Roman" w:hAnsi="Times New Roman" w:cs="Times New Roman"/>
          <w:sz w:val="23"/>
          <w:szCs w:val="23"/>
        </w:rPr>
        <w:t>uchylenie zaskarżonej decy</w:t>
      </w:r>
      <w:r w:rsidR="004C4888" w:rsidRPr="00E00D5C">
        <w:rPr>
          <w:rFonts w:ascii="Times New Roman" w:hAnsi="Times New Roman" w:cs="Times New Roman"/>
          <w:sz w:val="23"/>
          <w:szCs w:val="23"/>
        </w:rPr>
        <w:t>zji,</w:t>
      </w:r>
    </w:p>
    <w:p w:rsidR="00BE62AF" w:rsidRPr="00E00D5C" w:rsidRDefault="00BE62AF" w:rsidP="00AC7D4F">
      <w:pPr>
        <w:pStyle w:val="Bezodstpw"/>
        <w:numPr>
          <w:ilvl w:val="0"/>
          <w:numId w:val="6"/>
        </w:numPr>
        <w:rPr>
          <w:rFonts w:ascii="Times New Roman" w:hAnsi="Times New Roman" w:cs="Times New Roman"/>
          <w:sz w:val="23"/>
          <w:szCs w:val="23"/>
        </w:rPr>
      </w:pPr>
      <w:r w:rsidRPr="00E00D5C">
        <w:rPr>
          <w:rFonts w:ascii="Times New Roman" w:hAnsi="Times New Roman" w:cs="Times New Roman"/>
          <w:sz w:val="23"/>
          <w:szCs w:val="23"/>
        </w:rPr>
        <w:t>zasądzenie kosztów postępowania według norm przepisanych.</w:t>
      </w:r>
    </w:p>
    <w:p w:rsidR="004C4888" w:rsidRPr="00E00D5C" w:rsidRDefault="004C4888" w:rsidP="004C4888">
      <w:pPr>
        <w:pStyle w:val="Bezodstpw"/>
        <w:rPr>
          <w:rFonts w:ascii="Times New Roman" w:hAnsi="Times New Roman" w:cs="Times New Roman"/>
          <w:sz w:val="23"/>
          <w:szCs w:val="23"/>
        </w:rPr>
      </w:pPr>
      <w:r w:rsidRPr="00E00D5C">
        <w:rPr>
          <w:rFonts w:ascii="Times New Roman" w:hAnsi="Times New Roman" w:cs="Times New Roman"/>
          <w:sz w:val="23"/>
          <w:szCs w:val="23"/>
        </w:rPr>
        <w:t xml:space="preserve"> </w:t>
      </w:r>
    </w:p>
    <w:p w:rsidR="00E00D5C" w:rsidRDefault="00E00D5C">
      <w:pPr>
        <w:jc w:val="center"/>
        <w:rPr>
          <w:rFonts w:ascii="Times New Roman" w:hAnsi="Times New Roman" w:cs="Times New Roman"/>
          <w:b/>
          <w:sz w:val="23"/>
          <w:szCs w:val="23"/>
        </w:rPr>
      </w:pPr>
    </w:p>
    <w:p w:rsidR="008E4E66" w:rsidRPr="00E00D5C" w:rsidRDefault="00AC7D4F">
      <w:pPr>
        <w:jc w:val="center"/>
        <w:rPr>
          <w:rFonts w:ascii="Times New Roman" w:hAnsi="Times New Roman" w:cs="Times New Roman"/>
          <w:b/>
          <w:sz w:val="23"/>
          <w:szCs w:val="23"/>
        </w:rPr>
      </w:pPr>
      <w:r w:rsidRPr="00E00D5C">
        <w:rPr>
          <w:rFonts w:ascii="Times New Roman" w:hAnsi="Times New Roman" w:cs="Times New Roman"/>
          <w:b/>
          <w:sz w:val="23"/>
          <w:szCs w:val="23"/>
        </w:rPr>
        <w:lastRenderedPageBreak/>
        <w:t>Uzasadnienie</w:t>
      </w:r>
    </w:p>
    <w:p w:rsidR="00A1673F" w:rsidRPr="00E00D5C" w:rsidRDefault="00A1673F" w:rsidP="00A1673F">
      <w:pPr>
        <w:pStyle w:val="Standard"/>
        <w:jc w:val="both"/>
        <w:rPr>
          <w:rFonts w:ascii="Times New Roman" w:hAnsi="Times New Roman" w:cs="Times New Roman"/>
          <w:sz w:val="23"/>
          <w:szCs w:val="23"/>
        </w:rPr>
      </w:pPr>
      <w:r w:rsidRPr="00E00D5C">
        <w:rPr>
          <w:rFonts w:ascii="Times New Roman" w:hAnsi="Times New Roman" w:cs="Times New Roman"/>
          <w:sz w:val="23"/>
          <w:szCs w:val="23"/>
        </w:rPr>
        <w:t>W ocenie Skarżącego wnioskowane informacje nie spełniają przesłanki materialnej definicji tajemnicy przedsiębiorstwa i nie można ich zakwalifikować jako takowej.</w:t>
      </w:r>
    </w:p>
    <w:p w:rsidR="00A1673F" w:rsidRPr="00E00D5C" w:rsidRDefault="00AC7D4F" w:rsidP="00A1673F">
      <w:pPr>
        <w:pStyle w:val="Standard"/>
        <w:jc w:val="both"/>
        <w:rPr>
          <w:rFonts w:ascii="Times New Roman" w:hAnsi="Times New Roman" w:cs="Times New Roman"/>
          <w:sz w:val="23"/>
          <w:szCs w:val="23"/>
        </w:rPr>
      </w:pPr>
      <w:r w:rsidRPr="00E00D5C">
        <w:rPr>
          <w:rFonts w:ascii="Times New Roman" w:hAnsi="Times New Roman" w:cs="Times New Roman"/>
          <w:sz w:val="23"/>
          <w:szCs w:val="23"/>
        </w:rPr>
        <w:t>Podmiot zobowiązany</w:t>
      </w:r>
      <w:r w:rsidR="00A1673F" w:rsidRPr="00E00D5C">
        <w:rPr>
          <w:rFonts w:ascii="Times New Roman" w:hAnsi="Times New Roman" w:cs="Times New Roman"/>
          <w:sz w:val="23"/>
          <w:szCs w:val="23"/>
        </w:rPr>
        <w:t xml:space="preserve"> błędnie zakwalifikował </w:t>
      </w:r>
      <w:r w:rsidRPr="00E00D5C">
        <w:rPr>
          <w:rFonts w:ascii="Times New Roman" w:hAnsi="Times New Roman" w:cs="Times New Roman"/>
          <w:sz w:val="23"/>
          <w:szCs w:val="23"/>
        </w:rPr>
        <w:t>informacje, które są przedmiotem odmowy jako</w:t>
      </w:r>
      <w:r w:rsidR="00A1673F" w:rsidRPr="00E00D5C">
        <w:rPr>
          <w:rFonts w:ascii="Times New Roman" w:hAnsi="Times New Roman" w:cs="Times New Roman"/>
          <w:sz w:val="23"/>
          <w:szCs w:val="23"/>
        </w:rPr>
        <w:t xml:space="preserve"> podpadające pod ograniczenie wynikające z art. 5 ust. 2 UDIP. </w:t>
      </w:r>
    </w:p>
    <w:p w:rsidR="00A1673F" w:rsidRPr="00E00D5C" w:rsidRDefault="00A1673F" w:rsidP="00A1673F">
      <w:pPr>
        <w:pStyle w:val="Standard"/>
        <w:jc w:val="both"/>
        <w:rPr>
          <w:sz w:val="23"/>
          <w:szCs w:val="23"/>
        </w:rPr>
      </w:pPr>
      <w:r w:rsidRPr="00E00D5C">
        <w:rPr>
          <w:rFonts w:ascii="Times New Roman" w:hAnsi="Times New Roman" w:cs="Times New Roman"/>
          <w:sz w:val="23"/>
          <w:szCs w:val="23"/>
        </w:rPr>
        <w:t>Pojęcie „tajemnicy przedsiębiorcy”, użyte w art. 5 ust. 2 UDIP wyprowadza się z pojęcia tajemnicy przedsiębiorstwa i uregulowań ustawy o nieuczciwej konkurencji</w:t>
      </w:r>
      <w:r w:rsidRPr="00E00D5C">
        <w:rPr>
          <w:rStyle w:val="Odwoanieprzypisudolnego"/>
          <w:rFonts w:ascii="Times New Roman" w:hAnsi="Times New Roman" w:cs="Times New Roman"/>
          <w:sz w:val="23"/>
          <w:szCs w:val="23"/>
        </w:rPr>
        <w:footnoteReference w:id="1"/>
      </w:r>
      <w:r w:rsidRPr="00E00D5C">
        <w:rPr>
          <w:rFonts w:ascii="Times New Roman" w:hAnsi="Times New Roman" w:cs="Times New Roman"/>
          <w:sz w:val="23"/>
          <w:szCs w:val="23"/>
        </w:rPr>
        <w:t>. Zgodnie z art. 11 ust. 4 tych uregulowań,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Tajemnicę przedsiębiorcy stanowią informacje znane jedynie określonemu kręgowi osób i związane są z prowadzoną przez przedsiębiorcę działalnością, wobec których podjął on wystarczające środki ochrony w celu zachowania ich poufności</w:t>
      </w:r>
      <w:r w:rsidRPr="00E00D5C">
        <w:rPr>
          <w:rStyle w:val="Odwoanieprzypisudolnego"/>
          <w:rFonts w:ascii="Times New Roman" w:hAnsi="Times New Roman" w:cs="Times New Roman"/>
          <w:sz w:val="23"/>
          <w:szCs w:val="23"/>
        </w:rPr>
        <w:footnoteReference w:id="2"/>
      </w:r>
      <w:r w:rsidRPr="00E00D5C">
        <w:rPr>
          <w:rFonts w:ascii="Times New Roman" w:hAnsi="Times New Roman" w:cs="Times New Roman"/>
          <w:sz w:val="23"/>
          <w:szCs w:val="23"/>
        </w:rPr>
        <w:t>. Aby można było mówić o skutecznym zastrzeżeniu danych informacji jako objętych tajemnicą przedsiębiorstwa, muszą być spełnione dwa warunki: a) sam przedsiębiorca musi podejmować działania mające na celu zachowanie określonych danych w poufności; b) musza to być działania usystematyzowane, które obiektywnie dowodzą chęci zachowania w poufności określonych informacji i działania te nie mogą być wyłącznie reakcją na złożony wniosek o udostępnienie informacji publicznej, lecz powinny mieć charakter stały</w:t>
      </w:r>
      <w:r w:rsidRPr="00E00D5C">
        <w:rPr>
          <w:rStyle w:val="Odwoanieprzypisudolnego"/>
          <w:rFonts w:ascii="Times New Roman" w:hAnsi="Times New Roman" w:cs="Times New Roman"/>
          <w:sz w:val="23"/>
          <w:szCs w:val="23"/>
        </w:rPr>
        <w:footnoteReference w:id="3"/>
      </w:r>
      <w:r w:rsidRPr="00E00D5C">
        <w:rPr>
          <w:rFonts w:ascii="Times New Roman" w:hAnsi="Times New Roman" w:cs="Times New Roman"/>
          <w:sz w:val="23"/>
          <w:szCs w:val="23"/>
        </w:rPr>
        <w:t xml:space="preserve">. </w:t>
      </w:r>
      <w:r w:rsidR="00AC7D4F" w:rsidRPr="00E00D5C">
        <w:rPr>
          <w:rFonts w:ascii="Times New Roman" w:hAnsi="Times New Roman" w:cs="Times New Roman"/>
          <w:sz w:val="23"/>
          <w:szCs w:val="23"/>
        </w:rPr>
        <w:t>Takich kwestii w uzasadnieniu skarżonej decyzji nie można odnaleźć.</w:t>
      </w:r>
    </w:p>
    <w:p w:rsidR="00A1673F" w:rsidRPr="00E00D5C" w:rsidRDefault="00A1673F" w:rsidP="00A1673F">
      <w:pPr>
        <w:pStyle w:val="Standard"/>
        <w:jc w:val="both"/>
        <w:rPr>
          <w:sz w:val="23"/>
          <w:szCs w:val="23"/>
        </w:rPr>
      </w:pPr>
      <w:r w:rsidRPr="00E00D5C">
        <w:rPr>
          <w:rFonts w:ascii="Times New Roman" w:hAnsi="Times New Roman" w:cs="Times New Roman"/>
          <w:sz w:val="23"/>
          <w:szCs w:val="23"/>
        </w:rPr>
        <w:t>Należy zatem stwierdzić, iż do wykorzystania klauzuli tajemnicy przedsiębiorcy konieczne jest spełnienie przesłanek natury formalnej i materialnej. Przesłanka formalna polega na zamanifestowaniu woli konkretnego przedsiębiorcy utajnienia danych informacji. Przesłanka materialna jest wymogiem, by informacje objęte tajemnicą przedsiębiorcy stanowiły informacje, których ujawnienie mogłoby mieć wpływ na jego sytuację ekonomiczną</w:t>
      </w:r>
      <w:r w:rsidRPr="00E00D5C">
        <w:rPr>
          <w:rStyle w:val="Odwoanieprzypisudolnego"/>
          <w:rFonts w:ascii="Times New Roman" w:hAnsi="Times New Roman" w:cs="Times New Roman"/>
          <w:sz w:val="23"/>
          <w:szCs w:val="23"/>
        </w:rPr>
        <w:footnoteReference w:id="4"/>
      </w:r>
      <w:r w:rsidRPr="00E00D5C">
        <w:rPr>
          <w:rFonts w:ascii="Times New Roman" w:hAnsi="Times New Roman" w:cs="Times New Roman"/>
          <w:sz w:val="23"/>
          <w:szCs w:val="23"/>
        </w:rPr>
        <w:t>. Zarazem spełnienie tychże przesłanek musi być jednak wyjaśnione w uzasadnieniu decyzji odmownej.</w:t>
      </w:r>
    </w:p>
    <w:p w:rsidR="00AC7D4F" w:rsidRPr="00E00D5C" w:rsidRDefault="00A1673F" w:rsidP="00A1673F">
      <w:pPr>
        <w:pStyle w:val="Standard"/>
        <w:jc w:val="both"/>
        <w:rPr>
          <w:rFonts w:ascii="Times New Roman" w:hAnsi="Times New Roman" w:cs="Times New Roman"/>
          <w:sz w:val="23"/>
          <w:szCs w:val="23"/>
        </w:rPr>
      </w:pPr>
      <w:r w:rsidRPr="00E00D5C">
        <w:rPr>
          <w:rFonts w:ascii="Times New Roman" w:hAnsi="Times New Roman" w:cs="Times New Roman"/>
          <w:sz w:val="23"/>
          <w:szCs w:val="23"/>
        </w:rPr>
        <w:t>Odmowa, wydana niniejszej sprawie, jest pozbawiona uzasadnienia, w którym wskazano by okoliczności faktyczne i prawne stojące u podstawy wydania takiej, a nie innej decyzji, co stoi w sprzeczności z art. 16 § 2 UDIP. Wydanie decyzji o odmowie udostępnienia informacji publicznej z powołaniem się na tajemnicę przedsiębiorcy, bez wyczerpującego uzasadnienia wystąpienia przesłanek z art. 11 ust. 4 ustawy o zwalczaniu nieuczciwej konkurencji, świadczy o wydaniu jej z naruszeniem przepisów postępowania</w:t>
      </w:r>
      <w:r w:rsidR="00E00D5C" w:rsidRPr="00E00D5C">
        <w:rPr>
          <w:rFonts w:ascii="Times New Roman" w:hAnsi="Times New Roman" w:cs="Times New Roman"/>
          <w:sz w:val="23"/>
          <w:szCs w:val="23"/>
        </w:rPr>
        <w:t xml:space="preserve"> </w:t>
      </w:r>
      <w:r w:rsidRPr="00E00D5C">
        <w:rPr>
          <w:rFonts w:ascii="Times New Roman" w:hAnsi="Times New Roman" w:cs="Times New Roman"/>
          <w:sz w:val="23"/>
          <w:szCs w:val="23"/>
        </w:rPr>
        <w:t>mającym istotny wpływ na wynik sprawy, a także naruszeniem przepisów prawa materialnego stanowiących podstawę wydania decyzji</w:t>
      </w:r>
      <w:r w:rsidRPr="00E00D5C">
        <w:rPr>
          <w:rStyle w:val="Odwoanieprzypisudolnego"/>
          <w:rFonts w:ascii="Times New Roman" w:hAnsi="Times New Roman" w:cs="Times New Roman"/>
          <w:sz w:val="23"/>
          <w:szCs w:val="23"/>
        </w:rPr>
        <w:footnoteReference w:id="5"/>
      </w:r>
      <w:r w:rsidRPr="00E00D5C">
        <w:rPr>
          <w:rFonts w:ascii="Times New Roman" w:hAnsi="Times New Roman" w:cs="Times New Roman"/>
          <w:sz w:val="23"/>
          <w:szCs w:val="23"/>
        </w:rPr>
        <w:t>.</w:t>
      </w:r>
    </w:p>
    <w:p w:rsidR="00A1673F" w:rsidRPr="00E00D5C" w:rsidRDefault="00AC7D4F" w:rsidP="00A1673F">
      <w:pPr>
        <w:pStyle w:val="Standard"/>
        <w:jc w:val="both"/>
        <w:rPr>
          <w:sz w:val="23"/>
          <w:szCs w:val="23"/>
        </w:rPr>
      </w:pPr>
      <w:r w:rsidRPr="00E00D5C">
        <w:rPr>
          <w:rFonts w:ascii="Times New Roman" w:hAnsi="Times New Roman" w:cs="Times New Roman"/>
          <w:sz w:val="23"/>
          <w:szCs w:val="23"/>
        </w:rPr>
        <w:t>Podmiot zobowiązany</w:t>
      </w:r>
      <w:r w:rsidR="00A1673F" w:rsidRPr="00E00D5C">
        <w:rPr>
          <w:rFonts w:ascii="Times New Roman" w:hAnsi="Times New Roman" w:cs="Times New Roman"/>
          <w:sz w:val="23"/>
          <w:szCs w:val="23"/>
        </w:rPr>
        <w:t xml:space="preserve"> nie wskazał bowiem, w jaki sposób ujawnienie informacji będących przedmiotów wniosku wpłynie na sytuację ekonomiczną</w:t>
      </w:r>
      <w:r w:rsidRPr="00E00D5C">
        <w:rPr>
          <w:rFonts w:ascii="Times New Roman" w:hAnsi="Times New Roman" w:cs="Times New Roman"/>
          <w:sz w:val="23"/>
          <w:szCs w:val="23"/>
        </w:rPr>
        <w:t xml:space="preserve"> – poza wskazaniem o konkurowaniu – jednakże przedmiot informacji musi być związany z rzeczywistym przedmiotem konkurowania. W decyzji</w:t>
      </w:r>
      <w:r w:rsidR="00A1673F" w:rsidRPr="00E00D5C">
        <w:rPr>
          <w:rFonts w:ascii="Times New Roman" w:hAnsi="Times New Roman" w:cs="Times New Roman"/>
          <w:sz w:val="23"/>
          <w:szCs w:val="23"/>
        </w:rPr>
        <w:t xml:space="preserve"> nie przywołało żadnych kroków </w:t>
      </w:r>
      <w:r w:rsidR="00A1673F" w:rsidRPr="00E00D5C">
        <w:rPr>
          <w:rFonts w:ascii="Times New Roman" w:hAnsi="Times New Roman" w:cs="Times New Roman"/>
          <w:sz w:val="23"/>
          <w:szCs w:val="23"/>
        </w:rPr>
        <w:lastRenderedPageBreak/>
        <w:t>podjętych w tym właśnie celu</w:t>
      </w:r>
      <w:r w:rsidR="00A1673F" w:rsidRPr="00E00D5C">
        <w:rPr>
          <w:rStyle w:val="Odwoanieprzypisudolnego"/>
          <w:rFonts w:ascii="Times New Roman" w:hAnsi="Times New Roman" w:cs="Times New Roman"/>
          <w:sz w:val="23"/>
          <w:szCs w:val="23"/>
        </w:rPr>
        <w:footnoteReference w:id="6"/>
      </w:r>
      <w:r w:rsidR="00A1673F" w:rsidRPr="00E00D5C">
        <w:rPr>
          <w:rFonts w:ascii="Times New Roman" w:hAnsi="Times New Roman" w:cs="Times New Roman"/>
          <w:sz w:val="23"/>
          <w:szCs w:val="23"/>
        </w:rPr>
        <w:t>, nie ma więc także powodów by domniemywać, ze takie działania mają charakter stały, bowiem ciężar wskazania spełnienia tej przesłanki spoczywa na podmiocie zobowiązanym. W konsekwencji nie jest wystarczające powołanie się przez na klauzulę tajemnicy przedsiębiorcy, będącą efektem samego tylko życzenia kontrahenta</w:t>
      </w:r>
      <w:r w:rsidR="00A1673F" w:rsidRPr="00E00D5C">
        <w:rPr>
          <w:rStyle w:val="Odwoanieprzypisudolnego"/>
          <w:rFonts w:ascii="Times New Roman" w:hAnsi="Times New Roman" w:cs="Times New Roman"/>
          <w:sz w:val="23"/>
          <w:szCs w:val="23"/>
        </w:rPr>
        <w:footnoteReference w:id="7"/>
      </w:r>
      <w:r w:rsidR="00A1673F" w:rsidRPr="00E00D5C">
        <w:rPr>
          <w:rFonts w:ascii="Times New Roman" w:hAnsi="Times New Roman" w:cs="Times New Roman"/>
          <w:sz w:val="23"/>
          <w:szCs w:val="23"/>
        </w:rPr>
        <w:t>, bez stosownego badania, zgodnego ze standardami przyjętymi w demokratycznym państwie prawa</w:t>
      </w:r>
      <w:r w:rsidR="00A1673F" w:rsidRPr="00E00D5C">
        <w:rPr>
          <w:rStyle w:val="Odwoanieprzypisudolnego"/>
          <w:rFonts w:ascii="Times New Roman" w:hAnsi="Times New Roman" w:cs="Times New Roman"/>
          <w:sz w:val="23"/>
          <w:szCs w:val="23"/>
        </w:rPr>
        <w:footnoteReference w:id="8"/>
      </w:r>
      <w:r w:rsidR="00A1673F" w:rsidRPr="00E00D5C">
        <w:rPr>
          <w:rFonts w:ascii="Times New Roman" w:hAnsi="Times New Roman" w:cs="Times New Roman"/>
          <w:sz w:val="23"/>
          <w:szCs w:val="23"/>
        </w:rPr>
        <w:t xml:space="preserve">.  </w:t>
      </w:r>
    </w:p>
    <w:p w:rsidR="00A1673F" w:rsidRPr="00E00D5C" w:rsidRDefault="00A1673F" w:rsidP="00A1673F">
      <w:pPr>
        <w:pStyle w:val="Standard"/>
        <w:jc w:val="both"/>
        <w:rPr>
          <w:sz w:val="23"/>
          <w:szCs w:val="23"/>
        </w:rPr>
      </w:pPr>
      <w:r w:rsidRPr="00E00D5C">
        <w:rPr>
          <w:rFonts w:ascii="Times New Roman" w:hAnsi="Times New Roman" w:cs="Times New Roman"/>
          <w:sz w:val="23"/>
          <w:szCs w:val="23"/>
        </w:rPr>
        <w:t>Wadliwą jest interpretacja, jakoby w gestii przedsiębiorstwa była możliwość objęcia dowolnej informacji tajemnicą przedsiębiorca, bez wykazania spełnienia ustawowych przesłanek</w:t>
      </w:r>
      <w:r w:rsidRPr="00E00D5C">
        <w:rPr>
          <w:rStyle w:val="Odwoanieprzypisudolnego"/>
          <w:rFonts w:ascii="Times New Roman" w:hAnsi="Times New Roman" w:cs="Times New Roman"/>
          <w:sz w:val="23"/>
          <w:szCs w:val="23"/>
        </w:rPr>
        <w:footnoteReference w:id="9"/>
      </w:r>
      <w:r w:rsidRPr="00E00D5C">
        <w:rPr>
          <w:rFonts w:ascii="Times New Roman" w:hAnsi="Times New Roman" w:cs="Times New Roman"/>
          <w:sz w:val="23"/>
          <w:szCs w:val="23"/>
        </w:rPr>
        <w:t xml:space="preserve">. </w:t>
      </w:r>
      <w:r w:rsidR="00AC7D4F" w:rsidRPr="00E00D5C">
        <w:rPr>
          <w:rFonts w:ascii="Times New Roman" w:hAnsi="Times New Roman" w:cs="Times New Roman"/>
          <w:sz w:val="23"/>
          <w:szCs w:val="23"/>
        </w:rPr>
        <w:t>Podmiot zobowiązany</w:t>
      </w:r>
      <w:r w:rsidRPr="00E00D5C">
        <w:rPr>
          <w:rFonts w:ascii="Times New Roman" w:hAnsi="Times New Roman" w:cs="Times New Roman"/>
          <w:sz w:val="23"/>
          <w:szCs w:val="23"/>
        </w:rPr>
        <w:t xml:space="preserve"> nie może poprzestać na stwierdzeniu, że wystąpiła przesłanka ustawowa uzasadniająca odmowę udostępnienia informacji publicznej, ale winien przedstawić wynik samodzielnie dokonanej oceny stanu faktycznego, w tym ustaleń w części, w której przepis szczególny postawił domniemanie nie zastrzeżenia tajemnicy klauzul umownych, a także ustaleń co do podjęcia przez przedsiębiorcę niezbędnych działań w celu zachowania poufności konkretnych klauzul umownych. Wymogiem koniecznym uznania tajemnicy przedsiębiorcy jest wskazanie konkretnych, posiadających wartość gospodarczą należących do niego informacji, które mają korzystać z poufności</w:t>
      </w:r>
      <w:r w:rsidRPr="00E00D5C">
        <w:rPr>
          <w:rStyle w:val="Odwoanieprzypisudolnego"/>
          <w:rFonts w:ascii="Times New Roman" w:hAnsi="Times New Roman" w:cs="Times New Roman"/>
          <w:sz w:val="23"/>
          <w:szCs w:val="23"/>
        </w:rPr>
        <w:footnoteReference w:id="10"/>
      </w:r>
      <w:r w:rsidRPr="00E00D5C">
        <w:rPr>
          <w:rFonts w:ascii="Times New Roman" w:hAnsi="Times New Roman" w:cs="Times New Roman"/>
          <w:sz w:val="23"/>
          <w:szCs w:val="23"/>
        </w:rPr>
        <w:t>.</w:t>
      </w:r>
    </w:p>
    <w:p w:rsidR="00A1673F" w:rsidRPr="00E00D5C" w:rsidRDefault="00A1673F" w:rsidP="00A1673F">
      <w:pPr>
        <w:pStyle w:val="Standard"/>
        <w:jc w:val="both"/>
        <w:rPr>
          <w:rFonts w:ascii="Times New Roman" w:hAnsi="Times New Roman" w:cs="Times New Roman"/>
          <w:sz w:val="23"/>
          <w:szCs w:val="23"/>
        </w:rPr>
      </w:pPr>
      <w:r w:rsidRPr="00E00D5C">
        <w:rPr>
          <w:rFonts w:ascii="Times New Roman" w:hAnsi="Times New Roman" w:cs="Times New Roman"/>
          <w:sz w:val="23"/>
          <w:szCs w:val="23"/>
        </w:rPr>
        <w:t xml:space="preserve">Organ nieprawidłowo zatem uznał, iż informacje będące przedmiotem wniosku stanowią tajemnicę przedsiębiorcy, bowiem nie uzasadnił w przekonujący sposób spełnienia przesłanek formalnych i materialnych, koniecznych do takiej kwalifikacji. Wobec tego należy uznać, iż – skoro informacje nie spełniają tych przesłanek – mamy do czynienia z informacją publiczną, która nie podpada pod klauzulę tajemnicy przedsiębiorcy z art. 5 ust. 2 UDIP. </w:t>
      </w:r>
    </w:p>
    <w:p w:rsidR="00A1673F" w:rsidRPr="00E00D5C" w:rsidRDefault="00A1673F" w:rsidP="00A1673F">
      <w:pPr>
        <w:pStyle w:val="Standard"/>
        <w:jc w:val="both"/>
        <w:rPr>
          <w:rFonts w:ascii="Times New Roman" w:hAnsi="Times New Roman" w:cs="Times New Roman"/>
          <w:i/>
          <w:sz w:val="23"/>
          <w:szCs w:val="23"/>
          <w:u w:val="single"/>
        </w:rPr>
      </w:pPr>
    </w:p>
    <w:p w:rsidR="00E00D5C" w:rsidRPr="00E00D5C" w:rsidRDefault="00E00D5C" w:rsidP="00A1673F">
      <w:pPr>
        <w:pStyle w:val="Standard"/>
        <w:jc w:val="both"/>
        <w:rPr>
          <w:rFonts w:ascii="Times New Roman" w:hAnsi="Times New Roman" w:cs="Times New Roman"/>
          <w:i/>
          <w:sz w:val="23"/>
          <w:szCs w:val="23"/>
          <w:u w:val="single"/>
        </w:rPr>
      </w:pPr>
    </w:p>
    <w:p w:rsidR="00E00D5C" w:rsidRDefault="00E00D5C" w:rsidP="00A1673F">
      <w:pPr>
        <w:pStyle w:val="Standard"/>
        <w:jc w:val="both"/>
        <w:rPr>
          <w:rFonts w:ascii="Times New Roman" w:hAnsi="Times New Roman" w:cs="Times New Roman"/>
          <w:i/>
          <w:sz w:val="23"/>
          <w:szCs w:val="23"/>
          <w:u w:val="single"/>
        </w:rPr>
      </w:pPr>
    </w:p>
    <w:p w:rsidR="00E00D5C" w:rsidRDefault="00E00D5C" w:rsidP="00A1673F">
      <w:pPr>
        <w:pStyle w:val="Standard"/>
        <w:jc w:val="both"/>
        <w:rPr>
          <w:rFonts w:ascii="Times New Roman" w:hAnsi="Times New Roman" w:cs="Times New Roman"/>
          <w:i/>
          <w:sz w:val="23"/>
          <w:szCs w:val="23"/>
          <w:u w:val="single"/>
        </w:rPr>
      </w:pPr>
      <w:bookmarkStart w:id="0" w:name="_GoBack"/>
      <w:bookmarkEnd w:id="0"/>
    </w:p>
    <w:p w:rsidR="00E00D5C" w:rsidRDefault="00E00D5C" w:rsidP="00A1673F">
      <w:pPr>
        <w:pStyle w:val="Standard"/>
        <w:jc w:val="both"/>
        <w:rPr>
          <w:rFonts w:ascii="Times New Roman" w:hAnsi="Times New Roman" w:cs="Times New Roman"/>
          <w:i/>
          <w:sz w:val="23"/>
          <w:szCs w:val="23"/>
          <w:u w:val="single"/>
        </w:rPr>
      </w:pPr>
    </w:p>
    <w:p w:rsidR="00E00D5C" w:rsidRPr="00E00D5C" w:rsidRDefault="00E00D5C" w:rsidP="00A1673F">
      <w:pPr>
        <w:pStyle w:val="Standard"/>
        <w:jc w:val="both"/>
        <w:rPr>
          <w:rFonts w:ascii="Times New Roman" w:hAnsi="Times New Roman" w:cs="Times New Roman"/>
          <w:i/>
          <w:sz w:val="23"/>
          <w:szCs w:val="23"/>
          <w:u w:val="single"/>
        </w:rPr>
      </w:pPr>
    </w:p>
    <w:p w:rsidR="00A1673F" w:rsidRPr="00E00D5C" w:rsidRDefault="00A1673F" w:rsidP="00A1673F">
      <w:pPr>
        <w:pStyle w:val="Standard"/>
        <w:jc w:val="both"/>
        <w:rPr>
          <w:rFonts w:ascii="Times New Roman" w:hAnsi="Times New Roman" w:cs="Times New Roman"/>
          <w:i/>
          <w:sz w:val="23"/>
          <w:szCs w:val="23"/>
          <w:u w:val="single"/>
        </w:rPr>
      </w:pPr>
      <w:r w:rsidRPr="00E00D5C">
        <w:rPr>
          <w:rFonts w:ascii="Times New Roman" w:hAnsi="Times New Roman" w:cs="Times New Roman"/>
          <w:i/>
          <w:sz w:val="23"/>
          <w:szCs w:val="23"/>
          <w:u w:val="single"/>
        </w:rPr>
        <w:t>Załączniki:</w:t>
      </w:r>
    </w:p>
    <w:p w:rsidR="00A1673F" w:rsidRPr="00E00D5C" w:rsidRDefault="00AC7D4F" w:rsidP="00A1673F">
      <w:pPr>
        <w:pStyle w:val="Bezodstpw"/>
        <w:numPr>
          <w:ilvl w:val="0"/>
          <w:numId w:val="4"/>
        </w:numPr>
        <w:ind w:left="426" w:hanging="426"/>
        <w:textAlignment w:val="auto"/>
        <w:rPr>
          <w:rFonts w:ascii="Times New Roman" w:hAnsi="Times New Roman" w:cs="Times New Roman"/>
          <w:i/>
          <w:sz w:val="23"/>
          <w:szCs w:val="23"/>
        </w:rPr>
      </w:pPr>
      <w:r w:rsidRPr="00E00D5C">
        <w:rPr>
          <w:rFonts w:ascii="Times New Roman" w:hAnsi="Times New Roman" w:cs="Times New Roman"/>
          <w:i/>
          <w:sz w:val="23"/>
          <w:szCs w:val="23"/>
        </w:rPr>
        <w:t>odpis skargi,</w:t>
      </w:r>
    </w:p>
    <w:p w:rsidR="00A1673F" w:rsidRPr="00E00D5C" w:rsidRDefault="00AC7D4F" w:rsidP="00A1673F">
      <w:pPr>
        <w:pStyle w:val="Bezodstpw"/>
        <w:numPr>
          <w:ilvl w:val="0"/>
          <w:numId w:val="4"/>
        </w:numPr>
        <w:ind w:left="426" w:hanging="426"/>
        <w:textAlignment w:val="auto"/>
        <w:rPr>
          <w:rFonts w:ascii="Times New Roman" w:hAnsi="Times New Roman" w:cs="Times New Roman"/>
          <w:i/>
          <w:sz w:val="23"/>
          <w:szCs w:val="23"/>
        </w:rPr>
      </w:pPr>
      <w:r w:rsidRPr="00E00D5C">
        <w:rPr>
          <w:rFonts w:ascii="Times New Roman" w:hAnsi="Times New Roman" w:cs="Times New Roman"/>
          <w:i/>
          <w:sz w:val="23"/>
          <w:szCs w:val="23"/>
        </w:rPr>
        <w:t>statut Stowarzyszenia,</w:t>
      </w:r>
    </w:p>
    <w:p w:rsidR="008E4E66" w:rsidRPr="00E00D5C" w:rsidRDefault="00AC7D4F" w:rsidP="00AC7D4F">
      <w:pPr>
        <w:pStyle w:val="Bezodstpw"/>
        <w:numPr>
          <w:ilvl w:val="0"/>
          <w:numId w:val="4"/>
        </w:numPr>
        <w:ind w:left="426" w:hanging="426"/>
        <w:textAlignment w:val="auto"/>
        <w:rPr>
          <w:sz w:val="23"/>
          <w:szCs w:val="23"/>
        </w:rPr>
      </w:pPr>
      <w:r w:rsidRPr="00E00D5C">
        <w:rPr>
          <w:rFonts w:ascii="Times New Roman" w:hAnsi="Times New Roman" w:cs="Times New Roman"/>
          <w:i/>
          <w:sz w:val="23"/>
          <w:szCs w:val="23"/>
        </w:rPr>
        <w:t>KRS Stowarzyszenia.</w:t>
      </w:r>
      <w:r w:rsidRPr="00E00D5C">
        <w:rPr>
          <w:sz w:val="23"/>
          <w:szCs w:val="23"/>
        </w:rPr>
        <w:t xml:space="preserve"> </w:t>
      </w:r>
    </w:p>
    <w:sectPr w:rsidR="008E4E66" w:rsidRPr="00E00D5C" w:rsidSect="00E00D5C">
      <w:footerReference w:type="default" r:id="rId8"/>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F97" w:rsidRDefault="00C13F97">
      <w:pPr>
        <w:spacing w:after="0" w:line="240" w:lineRule="auto"/>
      </w:pPr>
      <w:r>
        <w:separator/>
      </w:r>
    </w:p>
  </w:endnote>
  <w:endnote w:type="continuationSeparator" w:id="0">
    <w:p w:rsidR="00C13F97" w:rsidRDefault="00C1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9E6" w:rsidRDefault="000339E6">
    <w:pPr>
      <w:pStyle w:val="Stopka"/>
      <w:jc w:val="center"/>
    </w:pPr>
    <w:r>
      <w:fldChar w:fldCharType="begin"/>
    </w:r>
    <w:r>
      <w:instrText>PAGE   \* MERGEFORMAT</w:instrText>
    </w:r>
    <w:r>
      <w:fldChar w:fldCharType="separate"/>
    </w:r>
    <w:r w:rsidR="00E00D5C">
      <w:rPr>
        <w:noProof/>
      </w:rPr>
      <w:t>1</w:t>
    </w:r>
    <w:r>
      <w:fldChar w:fldCharType="end"/>
    </w:r>
  </w:p>
  <w:p w:rsidR="000339E6" w:rsidRDefault="000339E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F97" w:rsidRDefault="00C13F97">
      <w:pPr>
        <w:spacing w:after="0" w:line="240" w:lineRule="auto"/>
      </w:pPr>
      <w:r>
        <w:separator/>
      </w:r>
    </w:p>
  </w:footnote>
  <w:footnote w:type="continuationSeparator" w:id="0">
    <w:p w:rsidR="00C13F97" w:rsidRDefault="00C13F97">
      <w:pPr>
        <w:spacing w:after="0" w:line="240" w:lineRule="auto"/>
      </w:pPr>
      <w:r>
        <w:continuationSeparator/>
      </w:r>
    </w:p>
  </w:footnote>
  <w:footnote w:id="1">
    <w:p w:rsidR="00A1673F" w:rsidRPr="00E00D5C" w:rsidRDefault="00A1673F" w:rsidP="000339E6">
      <w:pPr>
        <w:pStyle w:val="Bezodstpw"/>
        <w:rPr>
          <w:rStyle w:val="Odwoanieprzypisudolnego"/>
          <w:position w:val="0"/>
          <w:sz w:val="16"/>
        </w:rPr>
      </w:pPr>
      <w:r w:rsidRPr="00E00D5C">
        <w:rPr>
          <w:rStyle w:val="Odwoanieprzypisudolnego"/>
          <w:rFonts w:ascii="Times New Roman" w:hAnsi="Times New Roman" w:cs="Times New Roman"/>
          <w:position w:val="0"/>
          <w:sz w:val="16"/>
          <w:szCs w:val="16"/>
        </w:rPr>
        <w:footnoteRef/>
      </w:r>
      <w:r w:rsidRPr="00E00D5C">
        <w:rPr>
          <w:rStyle w:val="Odwoanieprzypisudolnego"/>
          <w:position w:val="0"/>
          <w:sz w:val="16"/>
        </w:rPr>
        <w:t>Zob. wyrok NSA z dnia 30.06.2017 r., sygn. akt I OSK 2377/15</w:t>
      </w:r>
    </w:p>
  </w:footnote>
  <w:footnote w:id="2">
    <w:p w:rsidR="00A1673F" w:rsidRPr="00E00D5C" w:rsidRDefault="00A1673F" w:rsidP="000339E6">
      <w:pPr>
        <w:pStyle w:val="Bezodstpw"/>
        <w:rPr>
          <w:rStyle w:val="Odwoanieprzypisudolnego"/>
          <w:position w:val="0"/>
          <w:sz w:val="16"/>
        </w:rPr>
      </w:pPr>
      <w:r w:rsidRPr="00E00D5C">
        <w:rPr>
          <w:rStyle w:val="Odwoanieprzypisudolnego"/>
          <w:rFonts w:ascii="Times New Roman" w:hAnsi="Times New Roman" w:cs="Times New Roman"/>
          <w:position w:val="0"/>
          <w:sz w:val="16"/>
          <w:szCs w:val="16"/>
        </w:rPr>
        <w:footnoteRef/>
      </w:r>
      <w:r w:rsidRPr="00E00D5C">
        <w:rPr>
          <w:rStyle w:val="Odwoanieprzypisudolnego"/>
          <w:position w:val="0"/>
          <w:sz w:val="16"/>
        </w:rPr>
        <w:t xml:space="preserve"> Zob. wyrok WSA w Szczecinie z dnia 05.01.2017 r., sygn. akt II SA/</w:t>
      </w:r>
      <w:proofErr w:type="spellStart"/>
      <w:r w:rsidRPr="00E00D5C">
        <w:rPr>
          <w:rStyle w:val="Odwoanieprzypisudolnego"/>
          <w:position w:val="0"/>
          <w:sz w:val="16"/>
        </w:rPr>
        <w:t>Sz</w:t>
      </w:r>
      <w:proofErr w:type="spellEnd"/>
      <w:r w:rsidRPr="00E00D5C">
        <w:rPr>
          <w:rStyle w:val="Odwoanieprzypisudolnego"/>
          <w:position w:val="0"/>
          <w:sz w:val="16"/>
        </w:rPr>
        <w:t xml:space="preserve"> 1069/16</w:t>
      </w:r>
    </w:p>
  </w:footnote>
  <w:footnote w:id="3">
    <w:p w:rsidR="00A1673F" w:rsidRPr="00E00D5C" w:rsidRDefault="00A1673F" w:rsidP="000339E6">
      <w:pPr>
        <w:pStyle w:val="Bezodstpw"/>
        <w:rPr>
          <w:rStyle w:val="Odwoanieprzypisudolnego"/>
          <w:rFonts w:ascii="Times New Roman" w:hAnsi="Times New Roman" w:cs="Times New Roman"/>
          <w:position w:val="0"/>
          <w:sz w:val="16"/>
          <w:szCs w:val="16"/>
        </w:rPr>
      </w:pPr>
      <w:r w:rsidRPr="00E00D5C">
        <w:rPr>
          <w:rStyle w:val="Odwoanieprzypisudolnego"/>
          <w:rFonts w:ascii="Times New Roman" w:hAnsi="Times New Roman" w:cs="Times New Roman"/>
          <w:position w:val="0"/>
          <w:sz w:val="16"/>
          <w:szCs w:val="16"/>
        </w:rPr>
        <w:footnoteRef/>
      </w:r>
      <w:r w:rsidRPr="00E00D5C">
        <w:rPr>
          <w:rStyle w:val="Odwoanieprzypisudolnego"/>
          <w:position w:val="0"/>
          <w:sz w:val="16"/>
        </w:rPr>
        <w:t xml:space="preserve"> Zob. wyrok WSA w Warszawie z dnia 13.12.2016 r., sygn. akt II SA/</w:t>
      </w:r>
      <w:proofErr w:type="spellStart"/>
      <w:r w:rsidRPr="00E00D5C">
        <w:rPr>
          <w:rStyle w:val="Odwoanieprzypisudolnego"/>
          <w:position w:val="0"/>
          <w:sz w:val="16"/>
        </w:rPr>
        <w:t>Wa</w:t>
      </w:r>
      <w:proofErr w:type="spellEnd"/>
      <w:r w:rsidRPr="00E00D5C">
        <w:rPr>
          <w:rStyle w:val="Odwoanieprzypisudolnego"/>
          <w:position w:val="0"/>
          <w:sz w:val="16"/>
        </w:rPr>
        <w:t xml:space="preserve"> 1001/16</w:t>
      </w:r>
    </w:p>
  </w:footnote>
  <w:footnote w:id="4">
    <w:p w:rsidR="00A1673F" w:rsidRPr="00E00D5C" w:rsidRDefault="00A1673F" w:rsidP="00A1673F">
      <w:pPr>
        <w:pStyle w:val="Bezodstpw"/>
        <w:rPr>
          <w:rStyle w:val="Odwoanieprzypisudolnego"/>
          <w:position w:val="0"/>
          <w:sz w:val="16"/>
        </w:rPr>
      </w:pPr>
      <w:r w:rsidRPr="00E00D5C">
        <w:rPr>
          <w:rStyle w:val="Odwoanieprzypisudolnego"/>
          <w:rFonts w:ascii="Times New Roman" w:hAnsi="Times New Roman" w:cs="Times New Roman"/>
          <w:position w:val="0"/>
          <w:sz w:val="16"/>
          <w:szCs w:val="16"/>
        </w:rPr>
        <w:footnoteRef/>
      </w:r>
      <w:r w:rsidRPr="00E00D5C">
        <w:rPr>
          <w:rStyle w:val="Odwoanieprzypisudolnego"/>
          <w:position w:val="0"/>
          <w:sz w:val="16"/>
        </w:rPr>
        <w:t>Zob. wyrok NSA z dnia 27.04.2017 r., sygn. akt I OSK 2218/16</w:t>
      </w:r>
    </w:p>
  </w:footnote>
  <w:footnote w:id="5">
    <w:p w:rsidR="00A1673F" w:rsidRPr="00E00D5C" w:rsidRDefault="00A1673F" w:rsidP="00A1673F">
      <w:pPr>
        <w:pStyle w:val="Bezodstpw"/>
        <w:rPr>
          <w:rStyle w:val="Odwoanieprzypisudolnego"/>
          <w:position w:val="0"/>
          <w:sz w:val="16"/>
        </w:rPr>
      </w:pPr>
      <w:r w:rsidRPr="000339E6">
        <w:rPr>
          <w:rStyle w:val="Odwoanieprzypisudolnego"/>
          <w:rFonts w:ascii="Times New Roman" w:hAnsi="Times New Roman" w:cs="Times New Roman"/>
          <w:position w:val="0"/>
          <w:sz w:val="16"/>
          <w:szCs w:val="16"/>
        </w:rPr>
        <w:footnoteRef/>
      </w:r>
      <w:r w:rsidRPr="00E00D5C">
        <w:rPr>
          <w:rStyle w:val="Odwoanieprzypisudolnego"/>
          <w:position w:val="0"/>
          <w:sz w:val="16"/>
        </w:rPr>
        <w:t xml:space="preserve"> Zob. wyrok WSA w Warszawie z dnia 13.12.2016 r., sygn. akt II SA/</w:t>
      </w:r>
      <w:proofErr w:type="spellStart"/>
      <w:r w:rsidRPr="00E00D5C">
        <w:rPr>
          <w:rStyle w:val="Odwoanieprzypisudolnego"/>
          <w:position w:val="0"/>
          <w:sz w:val="16"/>
        </w:rPr>
        <w:t>Wa</w:t>
      </w:r>
      <w:proofErr w:type="spellEnd"/>
      <w:r w:rsidRPr="00E00D5C">
        <w:rPr>
          <w:rStyle w:val="Odwoanieprzypisudolnego"/>
          <w:position w:val="0"/>
          <w:sz w:val="16"/>
        </w:rPr>
        <w:t xml:space="preserve"> 1001/16</w:t>
      </w:r>
    </w:p>
  </w:footnote>
  <w:footnote w:id="6">
    <w:p w:rsidR="00A1673F" w:rsidRPr="000339E6" w:rsidRDefault="00A1673F" w:rsidP="00A1673F">
      <w:pPr>
        <w:pStyle w:val="Bezodstpw"/>
        <w:rPr>
          <w:rFonts w:ascii="Times New Roman" w:hAnsi="Times New Roman" w:cs="Times New Roman"/>
          <w:sz w:val="16"/>
          <w:szCs w:val="16"/>
        </w:rPr>
      </w:pPr>
      <w:r w:rsidRPr="000339E6">
        <w:rPr>
          <w:rStyle w:val="Odwoanieprzypisudolnego"/>
          <w:rFonts w:ascii="Times New Roman" w:hAnsi="Times New Roman" w:cs="Times New Roman"/>
          <w:position w:val="0"/>
          <w:sz w:val="16"/>
          <w:szCs w:val="16"/>
        </w:rPr>
        <w:footnoteRef/>
      </w:r>
      <w:r w:rsidRPr="000339E6">
        <w:rPr>
          <w:rFonts w:ascii="Times New Roman" w:hAnsi="Times New Roman" w:cs="Times New Roman"/>
          <w:sz w:val="16"/>
          <w:szCs w:val="16"/>
        </w:rPr>
        <w:t xml:space="preserve"> Zob. wyrok WSA w Lublinie z dnia 11.03.2014 r., sygn. akt II SAB/Lu 6/14</w:t>
      </w:r>
    </w:p>
  </w:footnote>
  <w:footnote w:id="7">
    <w:p w:rsidR="00A1673F" w:rsidRPr="000339E6" w:rsidRDefault="00A1673F" w:rsidP="00A1673F">
      <w:pPr>
        <w:pStyle w:val="Bezodstpw"/>
        <w:rPr>
          <w:rFonts w:ascii="Times New Roman" w:hAnsi="Times New Roman" w:cs="Times New Roman"/>
          <w:sz w:val="16"/>
          <w:szCs w:val="16"/>
        </w:rPr>
      </w:pPr>
      <w:r w:rsidRPr="000339E6">
        <w:rPr>
          <w:rStyle w:val="Odwoanieprzypisudolnego"/>
          <w:rFonts w:ascii="Times New Roman" w:hAnsi="Times New Roman" w:cs="Times New Roman"/>
          <w:position w:val="0"/>
          <w:sz w:val="16"/>
          <w:szCs w:val="16"/>
        </w:rPr>
        <w:footnoteRef/>
      </w:r>
      <w:r w:rsidRPr="000339E6">
        <w:rPr>
          <w:rFonts w:ascii="Times New Roman" w:hAnsi="Times New Roman" w:cs="Times New Roman"/>
          <w:sz w:val="16"/>
          <w:szCs w:val="16"/>
        </w:rPr>
        <w:t xml:space="preserve"> Zob. wyrok WSA w Warszawie 16.06.2015 r., sygn. akt II SAB/</w:t>
      </w:r>
      <w:proofErr w:type="spellStart"/>
      <w:r w:rsidRPr="000339E6">
        <w:rPr>
          <w:rFonts w:ascii="Times New Roman" w:hAnsi="Times New Roman" w:cs="Times New Roman"/>
          <w:sz w:val="16"/>
          <w:szCs w:val="16"/>
        </w:rPr>
        <w:t>Wa</w:t>
      </w:r>
      <w:proofErr w:type="spellEnd"/>
      <w:r w:rsidRPr="000339E6">
        <w:rPr>
          <w:rFonts w:ascii="Times New Roman" w:hAnsi="Times New Roman" w:cs="Times New Roman"/>
          <w:sz w:val="16"/>
          <w:szCs w:val="16"/>
        </w:rPr>
        <w:t xml:space="preserve"> 594/15</w:t>
      </w:r>
    </w:p>
  </w:footnote>
  <w:footnote w:id="8">
    <w:p w:rsidR="00A1673F" w:rsidRPr="000339E6" w:rsidRDefault="00A1673F" w:rsidP="00A1673F">
      <w:pPr>
        <w:pStyle w:val="Bezodstpw"/>
        <w:rPr>
          <w:rFonts w:ascii="Times New Roman" w:hAnsi="Times New Roman" w:cs="Times New Roman"/>
          <w:sz w:val="16"/>
          <w:szCs w:val="16"/>
        </w:rPr>
      </w:pPr>
      <w:r w:rsidRPr="000339E6">
        <w:rPr>
          <w:rStyle w:val="Odwoanieprzypisudolnego"/>
          <w:rFonts w:ascii="Times New Roman" w:hAnsi="Times New Roman" w:cs="Times New Roman"/>
          <w:position w:val="0"/>
          <w:sz w:val="16"/>
          <w:szCs w:val="16"/>
        </w:rPr>
        <w:footnoteRef/>
      </w:r>
      <w:r w:rsidRPr="000339E6">
        <w:rPr>
          <w:rFonts w:ascii="Times New Roman" w:hAnsi="Times New Roman" w:cs="Times New Roman"/>
          <w:sz w:val="16"/>
          <w:szCs w:val="16"/>
        </w:rPr>
        <w:t xml:space="preserve"> Zob. wyrok WSA w Łodzi z dnia 09.06.2014 r., sygn. akt. II SAB/</w:t>
      </w:r>
      <w:proofErr w:type="spellStart"/>
      <w:r w:rsidRPr="000339E6">
        <w:rPr>
          <w:rFonts w:ascii="Times New Roman" w:hAnsi="Times New Roman" w:cs="Times New Roman"/>
          <w:sz w:val="16"/>
          <w:szCs w:val="16"/>
        </w:rPr>
        <w:t>Łd</w:t>
      </w:r>
      <w:proofErr w:type="spellEnd"/>
      <w:r w:rsidRPr="000339E6">
        <w:rPr>
          <w:rFonts w:ascii="Times New Roman" w:hAnsi="Times New Roman" w:cs="Times New Roman"/>
          <w:sz w:val="16"/>
          <w:szCs w:val="16"/>
        </w:rPr>
        <w:t xml:space="preserve"> 50/14</w:t>
      </w:r>
    </w:p>
  </w:footnote>
  <w:footnote w:id="9">
    <w:p w:rsidR="00A1673F" w:rsidRDefault="00A1673F" w:rsidP="00A1673F">
      <w:pPr>
        <w:pStyle w:val="Bezodstpw"/>
      </w:pPr>
      <w:r w:rsidRPr="000339E6">
        <w:rPr>
          <w:rStyle w:val="Odwoanieprzypisudolnego"/>
          <w:rFonts w:ascii="Times New Roman" w:hAnsi="Times New Roman" w:cs="Times New Roman"/>
          <w:position w:val="0"/>
          <w:sz w:val="16"/>
          <w:szCs w:val="16"/>
        </w:rPr>
        <w:footnoteRef/>
      </w:r>
      <w:r w:rsidRPr="000339E6">
        <w:rPr>
          <w:rFonts w:ascii="Times New Roman" w:hAnsi="Times New Roman" w:cs="Times New Roman"/>
          <w:sz w:val="16"/>
          <w:szCs w:val="16"/>
        </w:rPr>
        <w:t xml:space="preserve"> Zob. wyrok WSA w Szczecinie z dnia 05.01.2017 r., sygn. akt II SA/</w:t>
      </w:r>
      <w:proofErr w:type="spellStart"/>
      <w:r w:rsidRPr="000339E6">
        <w:rPr>
          <w:rFonts w:ascii="Times New Roman" w:hAnsi="Times New Roman" w:cs="Times New Roman"/>
          <w:sz w:val="16"/>
          <w:szCs w:val="16"/>
        </w:rPr>
        <w:t>Sz</w:t>
      </w:r>
      <w:proofErr w:type="spellEnd"/>
      <w:r w:rsidRPr="000339E6">
        <w:rPr>
          <w:rFonts w:ascii="Times New Roman" w:hAnsi="Times New Roman" w:cs="Times New Roman"/>
          <w:sz w:val="16"/>
          <w:szCs w:val="16"/>
        </w:rPr>
        <w:t xml:space="preserve"> 1069/16</w:t>
      </w:r>
    </w:p>
  </w:footnote>
  <w:footnote w:id="10">
    <w:p w:rsidR="00A1673F" w:rsidRDefault="00A1673F" w:rsidP="00E00D5C">
      <w:pPr>
        <w:pStyle w:val="Bezodstpw"/>
      </w:pPr>
      <w:r w:rsidRPr="00E00D5C">
        <w:rPr>
          <w:rFonts w:ascii="Times New Roman" w:hAnsi="Times New Roman" w:cs="Times New Roman"/>
          <w:sz w:val="16"/>
          <w:szCs w:val="16"/>
        </w:rPr>
        <w:footnoteRef/>
      </w:r>
      <w:r w:rsidRPr="00E00D5C">
        <w:rPr>
          <w:rFonts w:ascii="Times New Roman" w:hAnsi="Times New Roman" w:cs="Times New Roman"/>
          <w:sz w:val="16"/>
          <w:szCs w:val="16"/>
        </w:rPr>
        <w:t>Zob. wyrok WSA w Szczecinie z dnia 05.01.2017, sygn. akt. II SA/</w:t>
      </w:r>
      <w:proofErr w:type="spellStart"/>
      <w:r w:rsidRPr="00E00D5C">
        <w:rPr>
          <w:rFonts w:ascii="Times New Roman" w:hAnsi="Times New Roman" w:cs="Times New Roman"/>
          <w:sz w:val="16"/>
          <w:szCs w:val="16"/>
        </w:rPr>
        <w:t>Sz</w:t>
      </w:r>
      <w:proofErr w:type="spellEnd"/>
      <w:r w:rsidRPr="00E00D5C">
        <w:rPr>
          <w:rFonts w:ascii="Times New Roman" w:hAnsi="Times New Roman" w:cs="Times New Roman"/>
          <w:sz w:val="16"/>
          <w:szCs w:val="16"/>
        </w:rPr>
        <w:t xml:space="preserve"> 1069/17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2D76"/>
    <w:multiLevelType w:val="hybridMultilevel"/>
    <w:tmpl w:val="A5565B56"/>
    <w:lvl w:ilvl="0" w:tplc="97DAFB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31D4C6B"/>
    <w:multiLevelType w:val="hybridMultilevel"/>
    <w:tmpl w:val="ECB0DA7C"/>
    <w:lvl w:ilvl="0" w:tplc="6FF471C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F15388F"/>
    <w:multiLevelType w:val="hybridMultilevel"/>
    <w:tmpl w:val="04A0A79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nsid w:val="459F22FA"/>
    <w:multiLevelType w:val="hybridMultilevel"/>
    <w:tmpl w:val="0630B4DA"/>
    <w:lvl w:ilvl="0" w:tplc="AA9A44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A2B204D"/>
    <w:multiLevelType w:val="hybridMultilevel"/>
    <w:tmpl w:val="D3249E16"/>
    <w:lvl w:ilvl="0" w:tplc="AA9A44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C044C91"/>
    <w:multiLevelType w:val="hybridMultilevel"/>
    <w:tmpl w:val="127EBAFE"/>
    <w:lvl w:ilvl="0" w:tplc="AA9A44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88"/>
    <w:rsid w:val="00032B23"/>
    <w:rsid w:val="000339E6"/>
    <w:rsid w:val="00181E31"/>
    <w:rsid w:val="001A1199"/>
    <w:rsid w:val="004C4888"/>
    <w:rsid w:val="008E4E66"/>
    <w:rsid w:val="008F6C4D"/>
    <w:rsid w:val="00A1673F"/>
    <w:rsid w:val="00A23E7F"/>
    <w:rsid w:val="00AC7D4F"/>
    <w:rsid w:val="00BE62AF"/>
    <w:rsid w:val="00C13F97"/>
    <w:rsid w:val="00C57F5F"/>
    <w:rsid w:val="00C631CF"/>
    <w:rsid w:val="00C94ECA"/>
    <w:rsid w:val="00E00D5C"/>
    <w:rsid w:val="00E17F37"/>
    <w:rsid w:val="00F02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textAlignment w:val="baseline"/>
    </w:pPr>
    <w:rPr>
      <w:rFonts w:ascii="Calibri" w:eastAsia="SimSun" w:hAnsi="Calibri" w:cs="Tahoma"/>
      <w:kern w:val="1"/>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przypisudolnegoZnak">
    <w:name w:val="Tekst przypisu dolnego Znak"/>
    <w:rPr>
      <w:sz w:val="20"/>
      <w:szCs w:val="20"/>
    </w:rPr>
  </w:style>
  <w:style w:type="character" w:customStyle="1" w:styleId="Odwoanieprzypisudolnego1">
    <w:name w:val="Odwołanie przypisu dolnego1"/>
    <w:rPr>
      <w:position w:val="22"/>
      <w:sz w:val="14"/>
    </w:rPr>
  </w:style>
  <w:style w:type="character" w:customStyle="1" w:styleId="Znakiprzypiswdolnych">
    <w:name w:val="Znaki przypisów dolnych"/>
  </w:style>
  <w:style w:type="character" w:styleId="Odwoanieprzypisudolnego">
    <w:name w:val="footnote reference"/>
    <w:rPr>
      <w:position w:val="22"/>
      <w:sz w:val="14"/>
    </w:rPr>
  </w:style>
  <w:style w:type="character" w:styleId="Odwoanieprzypisukocowego">
    <w:name w:val="endnote reference"/>
    <w:rPr>
      <w:vertAlign w:val="superscript"/>
    </w:rPr>
  </w:style>
  <w:style w:type="character" w:customStyle="1" w:styleId="Znakiprzypiswkocowych">
    <w:name w:val="Znaki przypisów końcowych"/>
  </w:style>
  <w:style w:type="paragraph" w:customStyle="1" w:styleId="Normalny1">
    <w:name w:val="Normalny1"/>
    <w:pPr>
      <w:widowControl w:val="0"/>
      <w:suppressAutoHyphens/>
      <w:spacing w:after="200" w:line="276" w:lineRule="auto"/>
      <w:textAlignment w:val="baseline"/>
    </w:pPr>
    <w:rPr>
      <w:rFonts w:ascii="Calibri" w:eastAsia="SimSun" w:hAnsi="Calibri" w:cs="Tahoma"/>
      <w:kern w:val="1"/>
      <w:sz w:val="22"/>
      <w:szCs w:val="22"/>
      <w:lang w:eastAsia="ar-SA"/>
    </w:rPr>
  </w:style>
  <w:style w:type="paragraph" w:customStyle="1" w:styleId="Nagwek1">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customStyle="1" w:styleId="Legenda1">
    <w:name w:val="Legenda1"/>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Tekstprzypisudolnego1">
    <w:name w:val="Tekst przypisu dolnego1"/>
    <w:basedOn w:val="Normalny"/>
    <w:pPr>
      <w:spacing w:after="0" w:line="100" w:lineRule="atLeast"/>
    </w:pPr>
    <w:rPr>
      <w:sz w:val="20"/>
      <w:szCs w:val="20"/>
    </w:rPr>
  </w:style>
  <w:style w:type="paragraph" w:styleId="Tekstprzypisudolnego">
    <w:name w:val="footnote text"/>
    <w:basedOn w:val="Normalny"/>
    <w:pPr>
      <w:suppressLineNumbers/>
      <w:ind w:left="283" w:hanging="283"/>
    </w:pPr>
    <w:rPr>
      <w:sz w:val="20"/>
      <w:szCs w:val="20"/>
    </w:rPr>
  </w:style>
  <w:style w:type="paragraph" w:styleId="Bezodstpw">
    <w:name w:val="No Spacing"/>
    <w:uiPriority w:val="1"/>
    <w:qFormat/>
    <w:rsid w:val="004C4888"/>
    <w:pPr>
      <w:suppressAutoHyphens/>
      <w:textAlignment w:val="baseline"/>
    </w:pPr>
    <w:rPr>
      <w:rFonts w:ascii="Calibri" w:eastAsia="SimSun" w:hAnsi="Calibri" w:cs="Tahoma"/>
      <w:kern w:val="1"/>
      <w:sz w:val="22"/>
      <w:szCs w:val="22"/>
      <w:lang w:eastAsia="ar-SA"/>
    </w:rPr>
  </w:style>
  <w:style w:type="paragraph" w:customStyle="1" w:styleId="Standard">
    <w:name w:val="Standard"/>
    <w:rsid w:val="00A1673F"/>
    <w:pPr>
      <w:suppressAutoHyphens/>
      <w:autoSpaceDN w:val="0"/>
      <w:spacing w:after="200" w:line="276" w:lineRule="auto"/>
      <w:textAlignment w:val="baseline"/>
    </w:pPr>
    <w:rPr>
      <w:rFonts w:ascii="Calibri" w:eastAsia="SimSun" w:hAnsi="Calibri" w:cs="Tahoma"/>
      <w:kern w:val="3"/>
      <w:sz w:val="22"/>
      <w:szCs w:val="22"/>
      <w:lang w:eastAsia="en-US"/>
    </w:rPr>
  </w:style>
  <w:style w:type="paragraph" w:styleId="Nagwek">
    <w:name w:val="header"/>
    <w:basedOn w:val="Normalny"/>
    <w:link w:val="NagwekZnak"/>
    <w:uiPriority w:val="99"/>
    <w:unhideWhenUsed/>
    <w:rsid w:val="000339E6"/>
    <w:pPr>
      <w:tabs>
        <w:tab w:val="center" w:pos="4536"/>
        <w:tab w:val="right" w:pos="9072"/>
      </w:tabs>
    </w:pPr>
  </w:style>
  <w:style w:type="character" w:customStyle="1" w:styleId="NagwekZnak">
    <w:name w:val="Nagłówek Znak"/>
    <w:link w:val="Nagwek"/>
    <w:uiPriority w:val="99"/>
    <w:rsid w:val="000339E6"/>
    <w:rPr>
      <w:rFonts w:ascii="Calibri" w:eastAsia="SimSun" w:hAnsi="Calibri" w:cs="Tahoma"/>
      <w:kern w:val="1"/>
      <w:sz w:val="22"/>
      <w:szCs w:val="22"/>
      <w:lang w:eastAsia="ar-SA"/>
    </w:rPr>
  </w:style>
  <w:style w:type="paragraph" w:styleId="Stopka">
    <w:name w:val="footer"/>
    <w:basedOn w:val="Normalny"/>
    <w:link w:val="StopkaZnak"/>
    <w:uiPriority w:val="99"/>
    <w:unhideWhenUsed/>
    <w:rsid w:val="000339E6"/>
    <w:pPr>
      <w:tabs>
        <w:tab w:val="center" w:pos="4536"/>
        <w:tab w:val="right" w:pos="9072"/>
      </w:tabs>
    </w:pPr>
  </w:style>
  <w:style w:type="character" w:customStyle="1" w:styleId="StopkaZnak">
    <w:name w:val="Stopka Znak"/>
    <w:link w:val="Stopka"/>
    <w:uiPriority w:val="99"/>
    <w:rsid w:val="000339E6"/>
    <w:rPr>
      <w:rFonts w:ascii="Calibri" w:eastAsia="SimSun" w:hAnsi="Calibri" w:cs="Tahoma"/>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textAlignment w:val="baseline"/>
    </w:pPr>
    <w:rPr>
      <w:rFonts w:ascii="Calibri" w:eastAsia="SimSun" w:hAnsi="Calibri" w:cs="Tahoma"/>
      <w:kern w:val="1"/>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przypisudolnegoZnak">
    <w:name w:val="Tekst przypisu dolnego Znak"/>
    <w:rPr>
      <w:sz w:val="20"/>
      <w:szCs w:val="20"/>
    </w:rPr>
  </w:style>
  <w:style w:type="character" w:customStyle="1" w:styleId="Odwoanieprzypisudolnego1">
    <w:name w:val="Odwołanie przypisu dolnego1"/>
    <w:rPr>
      <w:position w:val="22"/>
      <w:sz w:val="14"/>
    </w:rPr>
  </w:style>
  <w:style w:type="character" w:customStyle="1" w:styleId="Znakiprzypiswdolnych">
    <w:name w:val="Znaki przypisów dolnych"/>
  </w:style>
  <w:style w:type="character" w:styleId="Odwoanieprzypisudolnego">
    <w:name w:val="footnote reference"/>
    <w:rPr>
      <w:position w:val="22"/>
      <w:sz w:val="14"/>
    </w:rPr>
  </w:style>
  <w:style w:type="character" w:styleId="Odwoanieprzypisukocowego">
    <w:name w:val="endnote reference"/>
    <w:rPr>
      <w:vertAlign w:val="superscript"/>
    </w:rPr>
  </w:style>
  <w:style w:type="character" w:customStyle="1" w:styleId="Znakiprzypiswkocowych">
    <w:name w:val="Znaki przypisów końcowych"/>
  </w:style>
  <w:style w:type="paragraph" w:customStyle="1" w:styleId="Normalny1">
    <w:name w:val="Normalny1"/>
    <w:pPr>
      <w:widowControl w:val="0"/>
      <w:suppressAutoHyphens/>
      <w:spacing w:after="200" w:line="276" w:lineRule="auto"/>
      <w:textAlignment w:val="baseline"/>
    </w:pPr>
    <w:rPr>
      <w:rFonts w:ascii="Calibri" w:eastAsia="SimSun" w:hAnsi="Calibri" w:cs="Tahoma"/>
      <w:kern w:val="1"/>
      <w:sz w:val="22"/>
      <w:szCs w:val="22"/>
      <w:lang w:eastAsia="ar-SA"/>
    </w:rPr>
  </w:style>
  <w:style w:type="paragraph" w:customStyle="1" w:styleId="Nagwek1">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Arial"/>
    </w:rPr>
  </w:style>
  <w:style w:type="paragraph" w:customStyle="1" w:styleId="Legenda1">
    <w:name w:val="Legenda1"/>
    <w:basedOn w:val="Normalny"/>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Tekstprzypisudolnego1">
    <w:name w:val="Tekst przypisu dolnego1"/>
    <w:basedOn w:val="Normalny"/>
    <w:pPr>
      <w:spacing w:after="0" w:line="100" w:lineRule="atLeast"/>
    </w:pPr>
    <w:rPr>
      <w:sz w:val="20"/>
      <w:szCs w:val="20"/>
    </w:rPr>
  </w:style>
  <w:style w:type="paragraph" w:styleId="Tekstprzypisudolnego">
    <w:name w:val="footnote text"/>
    <w:basedOn w:val="Normalny"/>
    <w:pPr>
      <w:suppressLineNumbers/>
      <w:ind w:left="283" w:hanging="283"/>
    </w:pPr>
    <w:rPr>
      <w:sz w:val="20"/>
      <w:szCs w:val="20"/>
    </w:rPr>
  </w:style>
  <w:style w:type="paragraph" w:styleId="Bezodstpw">
    <w:name w:val="No Spacing"/>
    <w:uiPriority w:val="1"/>
    <w:qFormat/>
    <w:rsid w:val="004C4888"/>
    <w:pPr>
      <w:suppressAutoHyphens/>
      <w:textAlignment w:val="baseline"/>
    </w:pPr>
    <w:rPr>
      <w:rFonts w:ascii="Calibri" w:eastAsia="SimSun" w:hAnsi="Calibri" w:cs="Tahoma"/>
      <w:kern w:val="1"/>
      <w:sz w:val="22"/>
      <w:szCs w:val="22"/>
      <w:lang w:eastAsia="ar-SA"/>
    </w:rPr>
  </w:style>
  <w:style w:type="paragraph" w:customStyle="1" w:styleId="Standard">
    <w:name w:val="Standard"/>
    <w:rsid w:val="00A1673F"/>
    <w:pPr>
      <w:suppressAutoHyphens/>
      <w:autoSpaceDN w:val="0"/>
      <w:spacing w:after="200" w:line="276" w:lineRule="auto"/>
      <w:textAlignment w:val="baseline"/>
    </w:pPr>
    <w:rPr>
      <w:rFonts w:ascii="Calibri" w:eastAsia="SimSun" w:hAnsi="Calibri" w:cs="Tahoma"/>
      <w:kern w:val="3"/>
      <w:sz w:val="22"/>
      <w:szCs w:val="22"/>
      <w:lang w:eastAsia="en-US"/>
    </w:rPr>
  </w:style>
  <w:style w:type="paragraph" w:styleId="Nagwek">
    <w:name w:val="header"/>
    <w:basedOn w:val="Normalny"/>
    <w:link w:val="NagwekZnak"/>
    <w:uiPriority w:val="99"/>
    <w:unhideWhenUsed/>
    <w:rsid w:val="000339E6"/>
    <w:pPr>
      <w:tabs>
        <w:tab w:val="center" w:pos="4536"/>
        <w:tab w:val="right" w:pos="9072"/>
      </w:tabs>
    </w:pPr>
  </w:style>
  <w:style w:type="character" w:customStyle="1" w:styleId="NagwekZnak">
    <w:name w:val="Nagłówek Znak"/>
    <w:link w:val="Nagwek"/>
    <w:uiPriority w:val="99"/>
    <w:rsid w:val="000339E6"/>
    <w:rPr>
      <w:rFonts w:ascii="Calibri" w:eastAsia="SimSun" w:hAnsi="Calibri" w:cs="Tahoma"/>
      <w:kern w:val="1"/>
      <w:sz w:val="22"/>
      <w:szCs w:val="22"/>
      <w:lang w:eastAsia="ar-SA"/>
    </w:rPr>
  </w:style>
  <w:style w:type="paragraph" w:styleId="Stopka">
    <w:name w:val="footer"/>
    <w:basedOn w:val="Normalny"/>
    <w:link w:val="StopkaZnak"/>
    <w:uiPriority w:val="99"/>
    <w:unhideWhenUsed/>
    <w:rsid w:val="000339E6"/>
    <w:pPr>
      <w:tabs>
        <w:tab w:val="center" w:pos="4536"/>
        <w:tab w:val="right" w:pos="9072"/>
      </w:tabs>
    </w:pPr>
  </w:style>
  <w:style w:type="character" w:customStyle="1" w:styleId="StopkaZnak">
    <w:name w:val="Stopka Znak"/>
    <w:link w:val="Stopka"/>
    <w:uiPriority w:val="99"/>
    <w:rsid w:val="000339E6"/>
    <w:rPr>
      <w:rFonts w:ascii="Calibri" w:eastAsia="SimSun" w:hAnsi="Calibri" w:cs="Tahoma"/>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5697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 Zdanowicz</cp:lastModifiedBy>
  <cp:revision>2</cp:revision>
  <cp:lastPrinted>2018-03-19T15:19:00Z</cp:lastPrinted>
  <dcterms:created xsi:type="dcterms:W3CDTF">2018-03-19T15:19:00Z</dcterms:created>
  <dcterms:modified xsi:type="dcterms:W3CDTF">2018-03-19T15:19:00Z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