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78E9" w14:textId="77777777" w:rsidR="0045053F" w:rsidRDefault="0045053F" w:rsidP="002B24EB">
      <w:pPr>
        <w:jc w:val="right"/>
      </w:pPr>
    </w:p>
    <w:p w14:paraId="031B1BB5" w14:textId="5A9E57D6" w:rsidR="002B24EB" w:rsidRPr="002B24EB" w:rsidRDefault="00CA7B8C" w:rsidP="0045053F">
      <w:pPr>
        <w:jc w:val="right"/>
      </w:pPr>
      <w:r>
        <w:t>Warszawa</w:t>
      </w:r>
      <w:r w:rsidR="002B24EB">
        <w:t xml:space="preserve">, 8 lipca 2025 r. </w:t>
      </w:r>
    </w:p>
    <w:p w14:paraId="78D49197" w14:textId="77777777" w:rsidR="00973DE0" w:rsidRDefault="00973DE0">
      <w:pPr>
        <w:rPr>
          <w:b/>
        </w:rPr>
      </w:pPr>
    </w:p>
    <w:p w14:paraId="0DE23F73" w14:textId="77777777" w:rsidR="00000000" w:rsidRDefault="002B24EB" w:rsidP="002B24EB">
      <w:pPr>
        <w:jc w:val="center"/>
        <w:rPr>
          <w:b/>
        </w:rPr>
      </w:pPr>
      <w:r>
        <w:rPr>
          <w:b/>
        </w:rPr>
        <w:t>Opinia do projektu ustawy z dnia 17 czerwca 2025 r. o zmianie ustawy o systemie informacji w ochronie zdrowia oraz niektórych ustaw</w:t>
      </w:r>
      <w:r w:rsidR="000C6DC0">
        <w:rPr>
          <w:b/>
        </w:rPr>
        <w:t xml:space="preserve"> (UD 238)</w:t>
      </w:r>
    </w:p>
    <w:p w14:paraId="58B340F8" w14:textId="07290F0E" w:rsidR="000C6DC0" w:rsidRDefault="000C6DC0" w:rsidP="00346FF2">
      <w:pPr>
        <w:tabs>
          <w:tab w:val="left" w:pos="864"/>
        </w:tabs>
        <w:rPr>
          <w:b/>
        </w:rPr>
      </w:pPr>
    </w:p>
    <w:p w14:paraId="6FD0625A" w14:textId="77777777" w:rsidR="003544FE" w:rsidRDefault="00CA7B8C" w:rsidP="000C6DC0">
      <w:pPr>
        <w:jc w:val="both"/>
      </w:pPr>
      <w:r>
        <w:t>Na stronach Rządowego Centrum Legislacji</w:t>
      </w:r>
      <w:r w:rsidR="000C6DC0">
        <w:t xml:space="preserve"> udostępniony </w:t>
      </w:r>
      <w:r>
        <w:t xml:space="preserve">został </w:t>
      </w:r>
      <w:r w:rsidR="000C6DC0">
        <w:t>projekt ustawy o zmianie ustawy o systemie informacji w ochronie zdrowia oraz niektórych innych ustaw (UD 238).</w:t>
      </w:r>
      <w:r w:rsidR="00346FF2">
        <w:t xml:space="preserve"> Projektowane zmiany, </w:t>
      </w:r>
      <w:r>
        <w:t xml:space="preserve">zawarte w </w:t>
      </w:r>
      <w:r w:rsidR="00346FF2">
        <w:t xml:space="preserve">art. 1 pkt 1 lit. b, </w:t>
      </w:r>
      <w:r>
        <w:t>dotykają</w:t>
      </w:r>
      <w:r w:rsidR="00346FF2">
        <w:t xml:space="preserve"> prawa do ponownego wykorzystania informacji sektora publicznego oraz praw</w:t>
      </w:r>
      <w:r w:rsidR="003544FE">
        <w:t>a</w:t>
      </w:r>
      <w:r w:rsidR="00346FF2">
        <w:t xml:space="preserve"> dostę</w:t>
      </w:r>
      <w:r w:rsidR="003544FE">
        <w:t xml:space="preserve">pu do informacji publicznej. </w:t>
      </w:r>
    </w:p>
    <w:p w14:paraId="285A04FE" w14:textId="77777777" w:rsidR="003544FE" w:rsidRDefault="003544FE" w:rsidP="000C6DC0">
      <w:pPr>
        <w:jc w:val="both"/>
      </w:pPr>
    </w:p>
    <w:p w14:paraId="207E4623" w14:textId="77777777" w:rsidR="003544FE" w:rsidRDefault="003544FE" w:rsidP="000C6DC0">
      <w:pPr>
        <w:jc w:val="both"/>
      </w:pPr>
      <w:r>
        <w:t>Sieć Obywatelska Watchdog Polska (dalej jako: SOWP) jest ogólnopolską organizacją społeczną, której celem jest upowszechnianie i ochrona wolności i praw człowieka oraz swobód obywatelskich, a także działań wspomagających rozwój demokracji oraz wspieranie działań monitorujących i edukacyjnych na rzecz zwiększenia przejrzystości i uczciwości</w:t>
      </w:r>
      <w:r w:rsidR="00CA7B8C">
        <w:t xml:space="preserve"> życia publicznego, w tym m.in. poprzez podejmowanie działań</w:t>
      </w:r>
      <w:r>
        <w:t xml:space="preserve"> na rzecz swobodnego dostępu do informacji publicznej. W związku z powyższym</w:t>
      </w:r>
      <w:r w:rsidR="00CA7B8C">
        <w:t>i celami działania SOWP</w:t>
      </w:r>
      <w:r>
        <w:t xml:space="preserve"> sporządzona została niniejsza opinia.</w:t>
      </w:r>
    </w:p>
    <w:p w14:paraId="27557998" w14:textId="77777777" w:rsidR="003544FE" w:rsidRDefault="003544FE" w:rsidP="000C6DC0">
      <w:pPr>
        <w:jc w:val="both"/>
      </w:pPr>
    </w:p>
    <w:p w14:paraId="15267DA2" w14:textId="77777777" w:rsidR="00D23FD5" w:rsidRDefault="003544FE" w:rsidP="000C6DC0">
      <w:pPr>
        <w:jc w:val="both"/>
      </w:pPr>
      <w:r>
        <w:t xml:space="preserve">Proponowane zmiany, zmierzające do wyłączenia stosowania ustawy </w:t>
      </w:r>
      <w:r w:rsidRPr="000D579C">
        <w:rPr>
          <w:rFonts w:eastAsia="Times New Roman" w:cs="Times New Roman"/>
          <w:szCs w:val="24"/>
          <w:lang w:eastAsia="pl-PL"/>
        </w:rPr>
        <w:t>z dnia 11 sierpnia 2021 r. o otwartych danych i ponownym wykorzystywaniu informacji sektora publicznego</w:t>
      </w:r>
      <w:r>
        <w:rPr>
          <w:rFonts w:eastAsia="Times New Roman" w:cs="Times New Roman"/>
          <w:szCs w:val="24"/>
          <w:lang w:eastAsia="pl-PL"/>
        </w:rPr>
        <w:t xml:space="preserve"> w odniesieniu do systemów informacji medycznej wskazanych w ustawie </w:t>
      </w:r>
      <w:r w:rsidRPr="0059343B">
        <w:t>z dnia 28 kwietnia 2011 r. o systemie informacji w ochronie zdrowia</w:t>
      </w:r>
      <w:r>
        <w:t xml:space="preserve"> należy ocenić krytycznie i </w:t>
      </w:r>
      <w:r w:rsidR="00CA7B8C">
        <w:t xml:space="preserve">nie </w:t>
      </w:r>
      <w:r>
        <w:t xml:space="preserve">powinny zostać </w:t>
      </w:r>
      <w:r w:rsidR="00CA7B8C">
        <w:t xml:space="preserve">one </w:t>
      </w:r>
      <w:r>
        <w:t xml:space="preserve">uchwalone. </w:t>
      </w:r>
    </w:p>
    <w:p w14:paraId="00AE7949" w14:textId="77777777" w:rsidR="00D23FD5" w:rsidRDefault="00D23FD5" w:rsidP="000C6DC0">
      <w:pPr>
        <w:jc w:val="both"/>
      </w:pPr>
    </w:p>
    <w:p w14:paraId="31483B8D" w14:textId="77777777" w:rsidR="0045053F" w:rsidRDefault="003544FE" w:rsidP="00973DE0">
      <w:pPr>
        <w:jc w:val="both"/>
        <w:rPr>
          <w:b/>
        </w:rPr>
      </w:pPr>
      <w:r w:rsidRPr="007C652C">
        <w:rPr>
          <w:b/>
        </w:rPr>
        <w:t>Takie rozwiązanie jest arbitralnym ograniczeniem prawa do ponownego wykorzystania informacji sektora publicznego</w:t>
      </w:r>
      <w:r w:rsidR="007C652C">
        <w:rPr>
          <w:b/>
        </w:rPr>
        <w:t>, które ma istotne znaczenie ekonomiczne oraz społeczne</w:t>
      </w:r>
      <w:r w:rsidRPr="007C652C">
        <w:rPr>
          <w:b/>
        </w:rPr>
        <w:t>. Nie bierze pod uwagę, że w systemie pra</w:t>
      </w:r>
      <w:r w:rsidR="00CA7B8C">
        <w:rPr>
          <w:b/>
        </w:rPr>
        <w:t>wa funkcjonują już rozwiązania</w:t>
      </w:r>
      <w:r w:rsidRPr="007C652C">
        <w:rPr>
          <w:b/>
        </w:rPr>
        <w:t xml:space="preserve"> ograniczają</w:t>
      </w:r>
      <w:r w:rsidR="00CA7B8C">
        <w:rPr>
          <w:b/>
        </w:rPr>
        <w:t xml:space="preserve">ce </w:t>
      </w:r>
      <w:r w:rsidR="008402CF" w:rsidRPr="007C652C">
        <w:rPr>
          <w:b/>
        </w:rPr>
        <w:t xml:space="preserve">to prawo </w:t>
      </w:r>
      <w:r w:rsidRPr="007C652C">
        <w:rPr>
          <w:b/>
        </w:rPr>
        <w:t>i mogą</w:t>
      </w:r>
      <w:r w:rsidR="00CA7B8C">
        <w:rPr>
          <w:b/>
        </w:rPr>
        <w:t>ce</w:t>
      </w:r>
      <w:r w:rsidRPr="007C652C">
        <w:rPr>
          <w:b/>
        </w:rPr>
        <w:t xml:space="preserve"> zostać zastosowane również</w:t>
      </w:r>
      <w:r w:rsidR="007C652C">
        <w:rPr>
          <w:b/>
        </w:rPr>
        <w:t xml:space="preserve"> w </w:t>
      </w:r>
      <w:r w:rsidRPr="007C652C">
        <w:rPr>
          <w:b/>
        </w:rPr>
        <w:t xml:space="preserve">odniesieniu do </w:t>
      </w:r>
      <w:r w:rsidR="00973DE0">
        <w:rPr>
          <w:b/>
        </w:rPr>
        <w:t>danych zawartych w </w:t>
      </w:r>
      <w:r w:rsidR="008402CF" w:rsidRPr="007C652C">
        <w:rPr>
          <w:b/>
        </w:rPr>
        <w:t xml:space="preserve">systemach informacji medycznej, gdy zajdzie taka </w:t>
      </w:r>
      <w:r w:rsidR="007C652C">
        <w:rPr>
          <w:b/>
        </w:rPr>
        <w:t>potrzeba</w:t>
      </w:r>
      <w:r w:rsidR="008402CF" w:rsidRPr="007C652C">
        <w:rPr>
          <w:b/>
        </w:rPr>
        <w:t>.</w:t>
      </w:r>
      <w:r w:rsidR="00D23FD5" w:rsidRPr="007C652C">
        <w:rPr>
          <w:b/>
        </w:rPr>
        <w:t xml:space="preserve"> </w:t>
      </w:r>
      <w:r w:rsidR="00CA7B8C">
        <w:rPr>
          <w:b/>
        </w:rPr>
        <w:t xml:space="preserve">Projekt ustawy nie </w:t>
      </w:r>
    </w:p>
    <w:p w14:paraId="0745CF29" w14:textId="77777777" w:rsidR="0045053F" w:rsidRDefault="0045053F" w:rsidP="00973DE0">
      <w:pPr>
        <w:jc w:val="both"/>
        <w:rPr>
          <w:b/>
        </w:rPr>
      </w:pPr>
    </w:p>
    <w:p w14:paraId="6B2AC9C3" w14:textId="77777777" w:rsidR="0045053F" w:rsidRDefault="0045053F" w:rsidP="00973DE0">
      <w:pPr>
        <w:jc w:val="both"/>
        <w:rPr>
          <w:b/>
        </w:rPr>
      </w:pPr>
    </w:p>
    <w:p w14:paraId="406F994C" w14:textId="1C28FAD0" w:rsidR="007C652C" w:rsidRDefault="00CA7B8C" w:rsidP="00973DE0">
      <w:pPr>
        <w:jc w:val="both"/>
        <w:rPr>
          <w:b/>
        </w:rPr>
      </w:pPr>
      <w:r>
        <w:rPr>
          <w:b/>
        </w:rPr>
        <w:lastRenderedPageBreak/>
        <w:t xml:space="preserve">zawiera również </w:t>
      </w:r>
      <w:r w:rsidR="007C652C">
        <w:rPr>
          <w:b/>
        </w:rPr>
        <w:t>uzasadnienia dla wyżej wskazanych zmian.</w:t>
      </w:r>
      <w:r w:rsidR="008402CF" w:rsidRPr="007C652C">
        <w:rPr>
          <w:b/>
        </w:rPr>
        <w:t xml:space="preserve"> Dlatego </w:t>
      </w:r>
      <w:r w:rsidR="007C652C">
        <w:rPr>
          <w:b/>
        </w:rPr>
        <w:t xml:space="preserve">zmiany w zakresie </w:t>
      </w:r>
      <w:r w:rsidR="008402CF" w:rsidRPr="007C652C">
        <w:rPr>
          <w:b/>
        </w:rPr>
        <w:t>art. 5 ust. 3a ustawy</w:t>
      </w:r>
      <w:r w:rsidR="007C652C">
        <w:rPr>
          <w:b/>
        </w:rPr>
        <w:t xml:space="preserve"> </w:t>
      </w:r>
      <w:r w:rsidR="007C652C" w:rsidRPr="007C652C">
        <w:rPr>
          <w:b/>
        </w:rPr>
        <w:t xml:space="preserve">z dnia 28 kwietnia 2011 r. </w:t>
      </w:r>
      <w:r w:rsidR="008402CF" w:rsidRPr="007C652C">
        <w:rPr>
          <w:b/>
        </w:rPr>
        <w:t>o systemie informacji w ochronie zdrowia nie powinna zostać</w:t>
      </w:r>
      <w:r w:rsidR="007C652C">
        <w:rPr>
          <w:b/>
        </w:rPr>
        <w:t xml:space="preserve"> wprowadzone. </w:t>
      </w:r>
    </w:p>
    <w:p w14:paraId="1458BFCC" w14:textId="77777777" w:rsidR="000C6DC0" w:rsidRDefault="00346FF2" w:rsidP="00346FF2">
      <w:pPr>
        <w:jc w:val="center"/>
        <w:rPr>
          <w:b/>
        </w:rPr>
      </w:pPr>
      <w:r>
        <w:rPr>
          <w:b/>
        </w:rPr>
        <w:t>Uzasadnienia</w:t>
      </w:r>
    </w:p>
    <w:p w14:paraId="2BC2A31E" w14:textId="77777777" w:rsidR="000A2573" w:rsidRPr="00346FF2" w:rsidRDefault="000A2573" w:rsidP="00346FF2">
      <w:pPr>
        <w:jc w:val="center"/>
        <w:rPr>
          <w:b/>
        </w:rPr>
      </w:pPr>
    </w:p>
    <w:p w14:paraId="64F87D9A" w14:textId="77777777" w:rsidR="0029746E" w:rsidRDefault="000C6DC0" w:rsidP="00F74802">
      <w:pPr>
        <w:jc w:val="both"/>
      </w:pPr>
      <w:r w:rsidRPr="00ED680B">
        <w:rPr>
          <w:b/>
        </w:rPr>
        <w:t xml:space="preserve">2. </w:t>
      </w:r>
      <w:r w:rsidR="0029746E" w:rsidRPr="0029746E">
        <w:rPr>
          <w:b/>
        </w:rPr>
        <w:t xml:space="preserve">Prawo do ponownego wykorzystania informacji sektora publicznego </w:t>
      </w:r>
    </w:p>
    <w:p w14:paraId="2BF776A1" w14:textId="77777777" w:rsidR="000A400B" w:rsidRDefault="00F74802" w:rsidP="00F74802">
      <w:pPr>
        <w:jc w:val="both"/>
      </w:pPr>
      <w:r>
        <w:t xml:space="preserve">Prawo do ponownego wykorzystania </w:t>
      </w:r>
      <w:r w:rsidR="000A400B">
        <w:t xml:space="preserve">informacji sektora publicznego – dalej jako: </w:t>
      </w:r>
      <w:proofErr w:type="spellStart"/>
      <w:r w:rsidR="000A400B">
        <w:t>i.s.p</w:t>
      </w:r>
      <w:proofErr w:type="spellEnd"/>
      <w:r w:rsidR="000A400B">
        <w:t>. –</w:t>
      </w:r>
      <w:r>
        <w:t xml:space="preserve">związane jest z dynamicznym rozwojem technologii oraz postępującym </w:t>
      </w:r>
      <w:r w:rsidRPr="00F74802">
        <w:rPr>
          <w:rStyle w:val="Uwydatnienie"/>
          <w:i w:val="0"/>
        </w:rPr>
        <w:t>w</w:t>
      </w:r>
      <w:r>
        <w:t xml:space="preserve"> ślad za nim rozwojem prawa do informacji</w:t>
      </w:r>
      <w:r>
        <w:rPr>
          <w:rStyle w:val="Odwoanieprzypisudolnego"/>
        </w:rPr>
        <w:footnoteReference w:id="1"/>
      </w:r>
      <w:r>
        <w:t>.</w:t>
      </w:r>
      <w:r w:rsidR="000A400B">
        <w:t xml:space="preserve"> Jest ono regulowane i gwarantowane przez ustawę </w:t>
      </w:r>
      <w:r w:rsidR="000A400B" w:rsidRPr="000D579C">
        <w:rPr>
          <w:rFonts w:eastAsia="Times New Roman" w:cs="Times New Roman"/>
          <w:szCs w:val="24"/>
          <w:lang w:eastAsia="pl-PL"/>
        </w:rPr>
        <w:t>z dnia 11 sierpnia 2021 r. o otwartych danych i ponownym wykorzystywaniu informacji sektora publicznego (</w:t>
      </w:r>
      <w:proofErr w:type="spellStart"/>
      <w:r w:rsidR="000A400B" w:rsidRPr="000D579C">
        <w:rPr>
          <w:rFonts w:eastAsia="Times New Roman" w:cs="Times New Roman"/>
          <w:szCs w:val="24"/>
          <w:lang w:eastAsia="pl-PL"/>
        </w:rPr>
        <w:t>t.j</w:t>
      </w:r>
      <w:proofErr w:type="spellEnd"/>
      <w:r w:rsidR="000A400B" w:rsidRPr="000D579C">
        <w:rPr>
          <w:rFonts w:eastAsia="Times New Roman" w:cs="Times New Roman"/>
          <w:szCs w:val="24"/>
          <w:lang w:eastAsia="pl-PL"/>
        </w:rPr>
        <w:t>. Dz. U.</w:t>
      </w:r>
      <w:r w:rsidR="000A400B">
        <w:rPr>
          <w:rFonts w:eastAsia="Times New Roman" w:cs="Times New Roman"/>
          <w:szCs w:val="24"/>
          <w:lang w:eastAsia="pl-PL"/>
        </w:rPr>
        <w:t xml:space="preserve"> z 2023 r. poz. 1524) – dalej jako: </w:t>
      </w:r>
      <w:r w:rsidR="000A400B">
        <w:t xml:space="preserve">u.o.d.p.w.i.s.p. </w:t>
      </w:r>
      <w:r w:rsidR="007C652C">
        <w:t>W literaturze w </w:t>
      </w:r>
      <w:r w:rsidR="00180242">
        <w:t>następujący sposób podsumowuje się znaczenie</w:t>
      </w:r>
      <w:r w:rsidR="00150AD2">
        <w:t xml:space="preserve"> i cele </w:t>
      </w:r>
      <w:r w:rsidR="00CA7B8C">
        <w:t>tej</w:t>
      </w:r>
      <w:r w:rsidR="00150AD2">
        <w:t xml:space="preserve"> ustawy:</w:t>
      </w:r>
    </w:p>
    <w:p w14:paraId="4F8ED7BA" w14:textId="77777777" w:rsidR="00180242" w:rsidRDefault="00180242" w:rsidP="00F74802">
      <w:pPr>
        <w:jc w:val="both"/>
      </w:pPr>
    </w:p>
    <w:p w14:paraId="35F6E139" w14:textId="77777777" w:rsidR="00F74802" w:rsidRPr="00CA7B8C" w:rsidRDefault="00180242" w:rsidP="0029746E">
      <w:pPr>
        <w:ind w:left="567" w:right="567"/>
        <w:jc w:val="both"/>
      </w:pPr>
      <w:r>
        <w:t>„</w:t>
      </w:r>
      <w:r w:rsidR="000A400B">
        <w:t xml:space="preserve">Komentowana ustawa o otwartych danych i ponownym wykorzystywaniu informacji sektora publicznego określa, po pierwsze, zasady otwartości danych; po drugie, zasady i tryb udostępniania i przekazywania informacji sektora publicznego w celu ponownego wykorzystywania; po trzecie, podmioty, które udostępniają lub przekazują te informacje; po czwarte, warunki ponownego wykorzystywania oraz zasady ustalania opłat za ponowne wykorzystywanie. </w:t>
      </w:r>
      <w:r w:rsidR="00213145">
        <w:t>(…)</w:t>
      </w:r>
      <w:r w:rsidR="000A400B">
        <w:t xml:space="preserve"> Uzasadnione jest przyjmować, że komentowana </w:t>
      </w:r>
      <w:r w:rsidR="000A400B" w:rsidRPr="00213145">
        <w:rPr>
          <w:b/>
        </w:rPr>
        <w:t>ustawa obejmuje gwarancje, które łącznie kształtują prawo do ponownego wykorzystyw</w:t>
      </w:r>
      <w:r w:rsidR="007C652C">
        <w:rPr>
          <w:b/>
        </w:rPr>
        <w:t xml:space="preserve">ania </w:t>
      </w:r>
      <w:proofErr w:type="spellStart"/>
      <w:r w:rsidR="007C652C">
        <w:rPr>
          <w:b/>
        </w:rPr>
        <w:t>i.s.p</w:t>
      </w:r>
      <w:proofErr w:type="spellEnd"/>
      <w:r w:rsidR="007C652C">
        <w:rPr>
          <w:b/>
        </w:rPr>
        <w:t>., stanowiące jedno z </w:t>
      </w:r>
      <w:r w:rsidR="000A400B" w:rsidRPr="00213145">
        <w:rPr>
          <w:b/>
        </w:rPr>
        <w:t>praw informacyjnych, obok takich publicznych praw podmiotowych jednostki jak prawo do ochrony danych osobowych i prawo dostępu do informacji publicznej.</w:t>
      </w:r>
      <w:r w:rsidR="000A400B">
        <w:t xml:space="preserve"> Katalog praw tego rodzaju może być uzupełniany o inne wolności i prawa, których realizacja wiąże się z dostępem do informacji czy też posługiwaniem się informacjami. </w:t>
      </w:r>
      <w:r w:rsidR="000A400B" w:rsidRPr="00213145">
        <w:rPr>
          <w:b/>
        </w:rPr>
        <w:t xml:space="preserve">Wszystkie one tworzą pewną sumę wielu </w:t>
      </w:r>
      <w:r w:rsidR="000A400B" w:rsidRPr="00213145">
        <w:rPr>
          <w:b/>
        </w:rPr>
        <w:lastRenderedPageBreak/>
        <w:t>wartości, swobód (wolności) i uprawnień (praw), łącznie kształtujących status informacyjny człowieka.</w:t>
      </w:r>
      <w:r w:rsidR="0026398F">
        <w:rPr>
          <w:rStyle w:val="Odwoanieprzypisudolnego"/>
          <w:b/>
        </w:rPr>
        <w:footnoteReference w:id="2"/>
      </w:r>
      <w:r>
        <w:rPr>
          <w:b/>
        </w:rPr>
        <w:t>”</w:t>
      </w:r>
      <w:r w:rsidR="00CA7B8C">
        <w:rPr>
          <w:b/>
        </w:rPr>
        <w:t xml:space="preserve"> </w:t>
      </w:r>
      <w:r w:rsidR="00CA7B8C">
        <w:t>(podkreślenie własne)</w:t>
      </w:r>
    </w:p>
    <w:p w14:paraId="5B2B1BB3" w14:textId="77777777" w:rsidR="0029746E" w:rsidRPr="0029746E" w:rsidRDefault="0029746E" w:rsidP="00903E3C">
      <w:pPr>
        <w:jc w:val="both"/>
        <w:rPr>
          <w:b/>
        </w:rPr>
      </w:pPr>
    </w:p>
    <w:p w14:paraId="1FD2939F" w14:textId="77777777" w:rsidR="00180242" w:rsidRDefault="0029746E" w:rsidP="00903E3C">
      <w:pPr>
        <w:jc w:val="both"/>
      </w:pPr>
      <w:r>
        <w:t xml:space="preserve">Z każdym rokiem kwestie związane ze statusem informacyjnym człowieka </w:t>
      </w:r>
      <w:r w:rsidR="0076343A">
        <w:t>zyskują</w:t>
      </w:r>
      <w:r w:rsidR="00CA7B8C">
        <w:t xml:space="preserve"> coraz większe</w:t>
      </w:r>
      <w:r>
        <w:t xml:space="preserve"> znaczeni</w:t>
      </w:r>
      <w:r w:rsidR="0076343A">
        <w:t>e</w:t>
      </w:r>
      <w:r>
        <w:t>. Dostęp do informacji</w:t>
      </w:r>
      <w:r w:rsidR="0076343A">
        <w:t xml:space="preserve"> (w tym informacji źródłowej)</w:t>
      </w:r>
      <w:r w:rsidR="007C652C">
        <w:t>, ich wiarygodność, a </w:t>
      </w:r>
      <w:r>
        <w:t>także możliwość odpo</w:t>
      </w:r>
      <w:r w:rsidR="00CA7B8C">
        <w:t>wiedniego przetwarzania danych i</w:t>
      </w:r>
      <w:r>
        <w:t xml:space="preserve"> wyciągania na ich podstawie trafnych wniosków są kluczowymi czynnikami, które decydują o sukces</w:t>
      </w:r>
      <w:r w:rsidR="00CA7B8C">
        <w:t xml:space="preserve">ie społecznym oraz ekonomicznym. W związku z tym tak </w:t>
      </w:r>
      <w:r>
        <w:t xml:space="preserve">istotne jest </w:t>
      </w:r>
      <w:r w:rsidR="00CA7B8C">
        <w:t xml:space="preserve">efektywne </w:t>
      </w:r>
      <w:r>
        <w:t>funkcjonowanie u.o.d.p.w.i.s.p.</w:t>
      </w:r>
    </w:p>
    <w:p w14:paraId="6C75FC52" w14:textId="77777777" w:rsidR="00D91900" w:rsidRDefault="00D91900" w:rsidP="00903E3C">
      <w:pPr>
        <w:jc w:val="both"/>
      </w:pPr>
    </w:p>
    <w:p w14:paraId="055DD386" w14:textId="77777777" w:rsidR="00D91900" w:rsidRDefault="00346FF2" w:rsidP="00903E3C">
      <w:pPr>
        <w:jc w:val="both"/>
      </w:pPr>
      <w:r>
        <w:t xml:space="preserve">Wśród celów jakie realizuje prawo do ponownego wykorzystania </w:t>
      </w:r>
      <w:proofErr w:type="spellStart"/>
      <w:r>
        <w:t>i.s.p</w:t>
      </w:r>
      <w:proofErr w:type="spellEnd"/>
      <w:r>
        <w:t>. można wskazać: ustanowienie rynku wewnętrznego i systemu zapewniającego niezakłóconą konkurencję na tym rynku; wzrost gospodarczy dzięki poprawie warunków dla rozwoju firm europejskich, przede wszystkim w sektorze usług; wzmocnienie pozycji konkurencyjnej tych firm wobec firm amerykańskich; tworzenie nowych miejsc pracy</w:t>
      </w:r>
      <w:r>
        <w:rPr>
          <w:rStyle w:val="Odwoanieprzypisudolnego"/>
        </w:rPr>
        <w:footnoteReference w:id="3"/>
      </w:r>
      <w:r>
        <w:t>, rozwój społeczeńst</w:t>
      </w:r>
      <w:r w:rsidR="007C652C">
        <w:t>wa informacyjnego i </w:t>
      </w:r>
      <w:r>
        <w:t>naukowego, poprawa jakości danych, wzmocnienie pozycji obywateli, a zarazem demokracji uczestniczącej oraz promocja przejrzystej, odpowiedzialnej i wydajniejszej administracji, funkcjonującej w sposób znacznie bardziej transparentny i efektywny</w:t>
      </w:r>
      <w:r>
        <w:rPr>
          <w:rStyle w:val="Odwoanieprzypisudolnego"/>
        </w:rPr>
        <w:footnoteReference w:id="4"/>
      </w:r>
      <w:r>
        <w:t>.</w:t>
      </w:r>
    </w:p>
    <w:p w14:paraId="7B88675C" w14:textId="77777777" w:rsidR="0076343A" w:rsidRDefault="0076343A" w:rsidP="00903E3C">
      <w:pPr>
        <w:jc w:val="both"/>
      </w:pPr>
    </w:p>
    <w:p w14:paraId="3AF230A7" w14:textId="77777777" w:rsidR="0029746E" w:rsidRDefault="00CA7B8C" w:rsidP="00903E3C">
      <w:pPr>
        <w:jc w:val="both"/>
      </w:pPr>
      <w:r>
        <w:t xml:space="preserve">Projektowane zmiany będące </w:t>
      </w:r>
      <w:r w:rsidR="0029746E">
        <w:t>przedmiotem niniejsz</w:t>
      </w:r>
      <w:r>
        <w:t xml:space="preserve">ej opinii godzą w te wartości i ograniczają </w:t>
      </w:r>
      <w:r w:rsidR="00150AD2">
        <w:t xml:space="preserve">rozwojowy potencjał, który wiąże się z prawem do ponownego wykorzystania </w:t>
      </w:r>
      <w:proofErr w:type="spellStart"/>
      <w:r w:rsidR="00150AD2">
        <w:t>i.s.p</w:t>
      </w:r>
      <w:proofErr w:type="spellEnd"/>
      <w:r w:rsidR="00150AD2">
        <w:t>.</w:t>
      </w:r>
    </w:p>
    <w:p w14:paraId="784156CC" w14:textId="77777777" w:rsidR="0029746E" w:rsidRDefault="0029746E" w:rsidP="00903E3C">
      <w:pPr>
        <w:jc w:val="both"/>
      </w:pPr>
    </w:p>
    <w:p w14:paraId="7DABD208" w14:textId="77777777" w:rsidR="00EA62C3" w:rsidRPr="00EA62C3" w:rsidRDefault="00EA62C3" w:rsidP="00903E3C">
      <w:pPr>
        <w:jc w:val="both"/>
        <w:rPr>
          <w:b/>
        </w:rPr>
      </w:pPr>
      <w:r w:rsidRPr="00EA62C3">
        <w:rPr>
          <w:b/>
        </w:rPr>
        <w:t xml:space="preserve">3. </w:t>
      </w:r>
      <w:r w:rsidR="00CA7B8C">
        <w:rPr>
          <w:b/>
        </w:rPr>
        <w:t>Projektowane w</w:t>
      </w:r>
      <w:r w:rsidRPr="00EA62C3">
        <w:rPr>
          <w:b/>
        </w:rPr>
        <w:t xml:space="preserve">yeliminowanie przepisów dotyczących ponownego wykorzystania </w:t>
      </w:r>
      <w:proofErr w:type="spellStart"/>
      <w:r w:rsidRPr="00EA62C3">
        <w:rPr>
          <w:b/>
        </w:rPr>
        <w:t>i.s.p</w:t>
      </w:r>
      <w:proofErr w:type="spellEnd"/>
      <w:r w:rsidRPr="00EA62C3">
        <w:rPr>
          <w:b/>
        </w:rPr>
        <w:t>. w</w:t>
      </w:r>
      <w:r w:rsidR="00D91900">
        <w:rPr>
          <w:b/>
        </w:rPr>
        <w:t xml:space="preserve"> odniesieniu do </w:t>
      </w:r>
      <w:r w:rsidRPr="00EA62C3">
        <w:rPr>
          <w:b/>
        </w:rPr>
        <w:t>systemów informacji medycznej</w:t>
      </w:r>
    </w:p>
    <w:p w14:paraId="43A57BE9" w14:textId="77777777" w:rsidR="00DB2835" w:rsidRDefault="00DB2835" w:rsidP="00903E3C">
      <w:pPr>
        <w:jc w:val="both"/>
      </w:pPr>
    </w:p>
    <w:p w14:paraId="3E8F6EFD" w14:textId="77777777" w:rsidR="00346FF2" w:rsidRDefault="00DB2835" w:rsidP="00150AD2">
      <w:pPr>
        <w:jc w:val="both"/>
        <w:rPr>
          <w:b/>
        </w:rPr>
      </w:pPr>
      <w:r w:rsidRPr="00DB2835">
        <w:rPr>
          <w:b/>
        </w:rPr>
        <w:t xml:space="preserve">3.1. </w:t>
      </w:r>
      <w:r w:rsidR="00150AD2">
        <w:rPr>
          <w:b/>
        </w:rPr>
        <w:t xml:space="preserve">Zmiany przewidziane w projekcie ustawy w kontekście prawa do ponownego wykorzystania </w:t>
      </w:r>
      <w:proofErr w:type="spellStart"/>
      <w:r w:rsidR="00150AD2">
        <w:rPr>
          <w:b/>
        </w:rPr>
        <w:t>i.s.p</w:t>
      </w:r>
      <w:proofErr w:type="spellEnd"/>
      <w:r w:rsidR="00150AD2">
        <w:rPr>
          <w:b/>
        </w:rPr>
        <w:t xml:space="preserve">. </w:t>
      </w:r>
    </w:p>
    <w:p w14:paraId="1FA1B57B" w14:textId="77777777" w:rsidR="00150AD2" w:rsidRPr="00346FF2" w:rsidRDefault="00150AD2" w:rsidP="00150AD2">
      <w:pPr>
        <w:jc w:val="both"/>
        <w:rPr>
          <w:b/>
        </w:rPr>
      </w:pPr>
      <w:r>
        <w:lastRenderedPageBreak/>
        <w:t>Projekt ustawy zakłada w art. 1 pkt 1 lit. b nowelizację brzmienia art. 5 ust. 3a u</w:t>
      </w:r>
      <w:r w:rsidRPr="0059343B">
        <w:t>staw</w:t>
      </w:r>
      <w:r>
        <w:t>y</w:t>
      </w:r>
      <w:r w:rsidRPr="0059343B">
        <w:t xml:space="preserve"> z dnia 28 kwietnia 2011 r. o systemie informacji w ochronie zdrowia (</w:t>
      </w:r>
      <w:proofErr w:type="spellStart"/>
      <w:r w:rsidRPr="0059343B">
        <w:t>t.j</w:t>
      </w:r>
      <w:proofErr w:type="spellEnd"/>
      <w:r w:rsidRPr="0059343B">
        <w:t xml:space="preserve">. Dz. U. z 2025 r. poz. 302 </w:t>
      </w:r>
      <w:proofErr w:type="gramStart"/>
      <w:r w:rsidRPr="0059343B">
        <w:t>z</w:t>
      </w:r>
      <w:r>
        <w:t>e  zm.</w:t>
      </w:r>
      <w:proofErr w:type="gramEnd"/>
      <w:r>
        <w:t xml:space="preserve">) – dalej jako: </w:t>
      </w:r>
      <w:proofErr w:type="spellStart"/>
      <w:r>
        <w:t>u.s.i.o.z</w:t>
      </w:r>
      <w:proofErr w:type="spellEnd"/>
      <w:r>
        <w:t>. – poprzez nadanie mu brzmienia w postaci:</w:t>
      </w:r>
    </w:p>
    <w:p w14:paraId="19BBF3CC" w14:textId="77777777" w:rsidR="00150AD2" w:rsidRDefault="00150AD2" w:rsidP="00150AD2">
      <w:pPr>
        <w:ind w:left="567" w:right="567"/>
        <w:jc w:val="both"/>
      </w:pPr>
      <w:r>
        <w:t xml:space="preserve">„3a. Dane zawarte w systemach, o których mowa w </w:t>
      </w:r>
      <w:r w:rsidRPr="00D91900">
        <w:rPr>
          <w:u w:val="single"/>
        </w:rPr>
        <w:t>ust. 1 pkt 1, pkt 2 lit. a, e, g–j i l–r oraz pkt 3</w:t>
      </w:r>
      <w:r>
        <w:t xml:space="preserve">, nie podlegają udostępnianiu na zasadach określonych w ustawie </w:t>
      </w:r>
      <w:r w:rsidR="007C652C">
        <w:t>z </w:t>
      </w:r>
      <w:r>
        <w:t xml:space="preserve">dnia 6 września 2001 r. o dostępie do informacji publicznej (Dz. U. z 2022 r. poz. 902) </w:t>
      </w:r>
      <w:r w:rsidRPr="00150AD2">
        <w:rPr>
          <w:u w:val="single"/>
        </w:rPr>
        <w:t>oraz w ustawie z dnia 11 sierpnia 2021 r. o otwartych danych oraz ponownym wykorzystywaniu informacji sektora publicznego (Dz. U. z 2023 r. poz. 1524).”</w:t>
      </w:r>
      <w:r>
        <w:rPr>
          <w:u w:val="single"/>
        </w:rPr>
        <w:t xml:space="preserve"> </w:t>
      </w:r>
      <w:r w:rsidRPr="00150AD2">
        <w:t>(podkreślenie własne)</w:t>
      </w:r>
    </w:p>
    <w:p w14:paraId="5A8490DB" w14:textId="77777777" w:rsidR="00150AD2" w:rsidRDefault="00D91900" w:rsidP="00150AD2">
      <w:pPr>
        <w:jc w:val="both"/>
      </w:pPr>
      <w:r>
        <w:t xml:space="preserve"> </w:t>
      </w:r>
    </w:p>
    <w:p w14:paraId="2AB600CB" w14:textId="77777777" w:rsidR="00D91900" w:rsidRDefault="00D91900" w:rsidP="00150AD2">
      <w:pPr>
        <w:jc w:val="both"/>
      </w:pPr>
      <w:r>
        <w:t xml:space="preserve">Proponowane zmiany </w:t>
      </w:r>
      <w:r w:rsidR="008C1EFD">
        <w:t xml:space="preserve">wyłączają zarówno nowe, jak i dotychczasowe systemy informacji medycznej spod obowiązywania u.o.d.p.w.i.s.p. oraz </w:t>
      </w:r>
      <w:r>
        <w:t>poszerzają (o nowowprowadzane systemy) katalog systemów informacji medycznej, do który</w:t>
      </w:r>
      <w:r w:rsidR="008C1EFD">
        <w:t xml:space="preserve">ch nie stosuje się </w:t>
      </w:r>
      <w:r w:rsidR="00973DE0">
        <w:t xml:space="preserve">ustawy z dnia 6 września 2001 r. o dostępie do informacji publicznej (Dz. U. z 2022 r. poz. 902) – dalej jako: </w:t>
      </w:r>
      <w:r w:rsidR="008C1EFD">
        <w:t>u.d.i.p.</w:t>
      </w:r>
      <w:r>
        <w:t xml:space="preserve"> </w:t>
      </w:r>
    </w:p>
    <w:p w14:paraId="2349406B" w14:textId="77777777" w:rsidR="00DB2835" w:rsidRDefault="00DB2835" w:rsidP="00903E3C">
      <w:pPr>
        <w:jc w:val="both"/>
      </w:pPr>
    </w:p>
    <w:p w14:paraId="4C390616" w14:textId="77777777" w:rsidR="00DB2835" w:rsidRPr="00DB2835" w:rsidRDefault="00DB2835" w:rsidP="00903E3C">
      <w:pPr>
        <w:jc w:val="both"/>
        <w:rPr>
          <w:b/>
        </w:rPr>
      </w:pPr>
      <w:r w:rsidRPr="00DB2835">
        <w:rPr>
          <w:b/>
        </w:rPr>
        <w:t xml:space="preserve">3.2. </w:t>
      </w:r>
      <w:r>
        <w:rPr>
          <w:b/>
        </w:rPr>
        <w:t>Ustawowe o</w:t>
      </w:r>
      <w:r w:rsidRPr="00DB2835">
        <w:rPr>
          <w:b/>
        </w:rPr>
        <w:t>graniczenie prawa do ponownego wykorzystywania</w:t>
      </w:r>
      <w:r>
        <w:rPr>
          <w:b/>
        </w:rPr>
        <w:t xml:space="preserve"> </w:t>
      </w:r>
      <w:proofErr w:type="spellStart"/>
      <w:r>
        <w:rPr>
          <w:b/>
        </w:rPr>
        <w:t>i.s.p</w:t>
      </w:r>
      <w:proofErr w:type="spellEnd"/>
      <w:r>
        <w:rPr>
          <w:b/>
        </w:rPr>
        <w:t>.</w:t>
      </w:r>
    </w:p>
    <w:p w14:paraId="42AB6331" w14:textId="77777777" w:rsidR="00DB2835" w:rsidRDefault="00DB2835" w:rsidP="00903E3C">
      <w:pPr>
        <w:jc w:val="both"/>
      </w:pPr>
      <w:r>
        <w:t>Projekt ustawy zakłada arbitralne wyłączenie stosowania całej u.o.d.p.w.i.s.p. Można domyślać się (</w:t>
      </w:r>
      <w:r w:rsidR="00D91900">
        <w:t>z uwagi na brak</w:t>
      </w:r>
      <w:r w:rsidR="008C1EFD">
        <w:t xml:space="preserve"> wyjaśnień </w:t>
      </w:r>
      <w:r w:rsidR="00D91900">
        <w:t>w uzasadnieniu</w:t>
      </w:r>
      <w:r w:rsidR="008C1EFD">
        <w:t xml:space="preserve"> projektu</w:t>
      </w:r>
      <w:r w:rsidR="00D91900">
        <w:t xml:space="preserve"> ustawy – szerzej na ten temat w pkt </w:t>
      </w:r>
      <w:r>
        <w:t xml:space="preserve">3.3.), że projektodawca uznał, że są jakieś inne wartości, które </w:t>
      </w:r>
      <w:r w:rsidR="00D91900">
        <w:t xml:space="preserve">powinny mieć pierwszeństwo, przez co uzasadniają to wyłączenie. </w:t>
      </w:r>
      <w:r>
        <w:t xml:space="preserve">Naturalnie są sytuacje, w których ograniczenie prawa do ponownego wykorzystania </w:t>
      </w:r>
      <w:proofErr w:type="spellStart"/>
      <w:r>
        <w:t>i.s.p</w:t>
      </w:r>
      <w:proofErr w:type="spellEnd"/>
      <w:r>
        <w:t xml:space="preserve">. będzie uzasadnione. </w:t>
      </w:r>
      <w:r w:rsidR="00D91900">
        <w:t>Takie sytuacje przewidziano w</w:t>
      </w:r>
      <w:r w:rsidR="00973DE0">
        <w:t> </w:t>
      </w:r>
      <w:r w:rsidR="008C1EFD">
        <w:t>u.o.d.p.w.i.s.p. W</w:t>
      </w:r>
      <w:r w:rsidR="00D91900">
        <w:t>ówczas zastosowanie znajd</w:t>
      </w:r>
      <w:r w:rsidR="008C1EFD">
        <w:t>zie</w:t>
      </w:r>
      <w:r w:rsidR="00D91900">
        <w:t xml:space="preserve"> </w:t>
      </w:r>
      <w:r>
        <w:t xml:space="preserve">art. </w:t>
      </w:r>
      <w:proofErr w:type="gramStart"/>
      <w:r>
        <w:t>6  u.o.d.p.w.i.s.p.</w:t>
      </w:r>
      <w:proofErr w:type="gramEnd"/>
      <w:r>
        <w:t xml:space="preserve"> Przykładowo można wskazać, że takie ograniczenie będzie zachodziło w zakre</w:t>
      </w:r>
      <w:r w:rsidR="00973DE0">
        <w:t>sie i na zasadach określonych w </w:t>
      </w:r>
      <w:r>
        <w:t>przepisach o ochronie informacji niejawnych oraz o ochronie innych tajemnic ustawowo chronionych (art. 6 ust. 1 u.o.d.p.w.i.s.p.) czy też ze względu na tajemnicę przedsiębiorstwa lub prywatność osoby fizycznej, w tym ochronę danych osobowych (art. 6 ust. 2 u.o.d.p.w.i.s.p.).</w:t>
      </w:r>
    </w:p>
    <w:p w14:paraId="4409298A" w14:textId="77777777" w:rsidR="00180242" w:rsidRDefault="00180242" w:rsidP="00903E3C">
      <w:pPr>
        <w:jc w:val="both"/>
      </w:pPr>
    </w:p>
    <w:p w14:paraId="2E8B6BB3" w14:textId="77777777" w:rsidR="0026398F" w:rsidRPr="00ED680B" w:rsidRDefault="000902E4" w:rsidP="00903E3C">
      <w:pPr>
        <w:jc w:val="both"/>
        <w:rPr>
          <w:b/>
        </w:rPr>
      </w:pPr>
      <w:r>
        <w:rPr>
          <w:b/>
        </w:rPr>
        <w:t>3.3</w:t>
      </w:r>
      <w:r w:rsidR="0026398F" w:rsidRPr="00ED680B">
        <w:rPr>
          <w:b/>
        </w:rPr>
        <w:t xml:space="preserve">. Brak uzasadnienia </w:t>
      </w:r>
      <w:r>
        <w:rPr>
          <w:b/>
        </w:rPr>
        <w:t>dla projektowanej zmiany</w:t>
      </w:r>
    </w:p>
    <w:p w14:paraId="35AF8054" w14:textId="77777777" w:rsidR="00433A68" w:rsidRDefault="0026398F" w:rsidP="00903E3C">
      <w:pPr>
        <w:jc w:val="both"/>
      </w:pPr>
      <w:r>
        <w:t xml:space="preserve">Należy również wskazać, że proponowana zmiana w obrębie art. 5 ust. 3a </w:t>
      </w:r>
      <w:proofErr w:type="spellStart"/>
      <w:r>
        <w:t>u.s.i.o.z</w:t>
      </w:r>
      <w:proofErr w:type="spellEnd"/>
      <w:r>
        <w:t xml:space="preserve">. nie zawiera w projekcie ustawy żadnego uzasadnienia. Brak jest </w:t>
      </w:r>
      <w:proofErr w:type="gramStart"/>
      <w:r>
        <w:t>wyjaśnienia</w:t>
      </w:r>
      <w:proofErr w:type="gramEnd"/>
      <w:r>
        <w:t xml:space="preserve"> dlaczego obok wyłączenia </w:t>
      </w:r>
      <w:r>
        <w:lastRenderedPageBreak/>
        <w:t xml:space="preserve">stosowania u.d.i.p. dodaje się kolejną ustawę – u.o.d.p.w.i.s.p., skąd wynika taka potrzeba oraz dlaczego taka zmiana legislacyjna jest wprowadzana właśnie w tym momencie. </w:t>
      </w:r>
    </w:p>
    <w:p w14:paraId="28DAE93D" w14:textId="77777777" w:rsidR="008C1EFD" w:rsidRDefault="008C1EFD" w:rsidP="00903E3C">
      <w:pPr>
        <w:jc w:val="both"/>
      </w:pPr>
    </w:p>
    <w:p w14:paraId="71329104" w14:textId="77777777" w:rsidR="0026398F" w:rsidRDefault="0026398F" w:rsidP="00903E3C">
      <w:pPr>
        <w:jc w:val="both"/>
      </w:pPr>
      <w:r>
        <w:t xml:space="preserve">Podobnie w projekcie ustawy brak uzasadnienia, dlaczego w art. 5 ust. 3a </w:t>
      </w:r>
      <w:proofErr w:type="spellStart"/>
      <w:r>
        <w:t>u.s.i.o.z</w:t>
      </w:r>
      <w:proofErr w:type="spellEnd"/>
      <w:r>
        <w:t xml:space="preserve">. dodaje się nowe systemy informacji w ochronie zdrowia, które są uwzględnione w projekcie ustawy takie jak: e-Transplant, e-Hemofilia, e-Krew oraz system dla Chorób Rzadkich. </w:t>
      </w:r>
    </w:p>
    <w:p w14:paraId="3BF227B6" w14:textId="77777777" w:rsidR="0026398F" w:rsidRPr="000D579C" w:rsidRDefault="0026398F" w:rsidP="00903E3C">
      <w:pPr>
        <w:jc w:val="both"/>
        <w:rPr>
          <w:rFonts w:eastAsia="Times New Roman" w:cs="Times New Roman"/>
          <w:szCs w:val="24"/>
          <w:lang w:eastAsia="pl-PL"/>
        </w:rPr>
      </w:pPr>
    </w:p>
    <w:p w14:paraId="53EA4243" w14:textId="77777777" w:rsidR="00433A68" w:rsidRDefault="00433A68" w:rsidP="00903E3C">
      <w:pPr>
        <w:jc w:val="both"/>
        <w:rPr>
          <w:b/>
        </w:rPr>
      </w:pPr>
      <w:r>
        <w:rPr>
          <w:b/>
        </w:rPr>
        <w:t>4</w:t>
      </w:r>
      <w:r w:rsidR="00ED680B" w:rsidRPr="00ED680B">
        <w:rPr>
          <w:b/>
        </w:rPr>
        <w:t xml:space="preserve">. </w:t>
      </w:r>
      <w:r>
        <w:rPr>
          <w:b/>
        </w:rPr>
        <w:t xml:space="preserve">Aktualna treść art. 5 ust. 3a </w:t>
      </w:r>
      <w:proofErr w:type="spellStart"/>
      <w:r w:rsidRPr="00433A68">
        <w:rPr>
          <w:b/>
        </w:rPr>
        <w:t>u.s.i.o.z</w:t>
      </w:r>
      <w:proofErr w:type="spellEnd"/>
      <w:r w:rsidRPr="00433A68">
        <w:rPr>
          <w:b/>
        </w:rPr>
        <w:t>.</w:t>
      </w:r>
      <w:r>
        <w:rPr>
          <w:b/>
        </w:rPr>
        <w:t xml:space="preserve"> w kontekście konstytucyjnego prawa do informacji publicznej</w:t>
      </w:r>
    </w:p>
    <w:p w14:paraId="5CFCF9AD" w14:textId="77777777" w:rsidR="002E29EC" w:rsidRDefault="00760C91" w:rsidP="00903E3C">
      <w:pPr>
        <w:jc w:val="both"/>
      </w:pPr>
      <w:r>
        <w:t xml:space="preserve">W ramach toczącego się procesu legislacyjnego należy również </w:t>
      </w:r>
      <w:r w:rsidR="00433A68">
        <w:t>zasygnalizować</w:t>
      </w:r>
      <w:r>
        <w:t>, że obecn</w:t>
      </w:r>
      <w:r w:rsidR="00433A68">
        <w:t xml:space="preserve">a treść art. 5 ust. 3a </w:t>
      </w:r>
      <w:proofErr w:type="spellStart"/>
      <w:r w:rsidR="00433A68">
        <w:t>u.s.i.o.z</w:t>
      </w:r>
      <w:proofErr w:type="spellEnd"/>
      <w:r w:rsidR="00433A68">
        <w:t>.</w:t>
      </w:r>
      <w:r>
        <w:t xml:space="preserve"> budzi wątpliwości</w:t>
      </w:r>
      <w:r w:rsidR="002E29EC">
        <w:t xml:space="preserve"> z punktu widzenia konstytucyjnego prawa do informacji publicznej, któr</w:t>
      </w:r>
      <w:r w:rsidR="00433A68">
        <w:t xml:space="preserve">y statuuje </w:t>
      </w:r>
      <w:r w:rsidR="002E29EC">
        <w:t>art. 61 Konstytucji RP</w:t>
      </w:r>
      <w:r w:rsidR="00DB2835">
        <w:t>.</w:t>
      </w:r>
    </w:p>
    <w:p w14:paraId="70034CEB" w14:textId="77777777" w:rsidR="00DB2835" w:rsidRDefault="00DB2835" w:rsidP="00903E3C">
      <w:pPr>
        <w:jc w:val="both"/>
      </w:pPr>
    </w:p>
    <w:p w14:paraId="49AAC2DD" w14:textId="77777777" w:rsidR="002E29EC" w:rsidRDefault="002E29EC" w:rsidP="002E29EC">
      <w:pPr>
        <w:jc w:val="both"/>
        <w:rPr>
          <w:rFonts w:eastAsia="Times New Roman" w:cs="Times New Roman"/>
          <w:szCs w:val="24"/>
          <w:lang w:eastAsia="pl-PL"/>
        </w:rPr>
      </w:pPr>
      <w:r>
        <w:t xml:space="preserve">Obecny przepis art. 5 ust. 3a </w:t>
      </w:r>
      <w:proofErr w:type="spellStart"/>
      <w:r>
        <w:t>u.s.i.o.z</w:t>
      </w:r>
      <w:proofErr w:type="spellEnd"/>
      <w:r>
        <w:t xml:space="preserve">. został wprowadzony </w:t>
      </w:r>
      <w:r>
        <w:rPr>
          <w:rFonts w:eastAsia="Times New Roman" w:cs="Times New Roman"/>
          <w:szCs w:val="24"/>
          <w:lang w:eastAsia="pl-PL"/>
        </w:rPr>
        <w:t>ustawą</w:t>
      </w:r>
      <w:r w:rsidR="00D125EC">
        <w:rPr>
          <w:rFonts w:eastAsia="Times New Roman" w:cs="Times New Roman"/>
          <w:szCs w:val="24"/>
          <w:lang w:eastAsia="pl-PL"/>
        </w:rPr>
        <w:t xml:space="preserve"> z dnia 19 lipca 2019 r. </w:t>
      </w:r>
      <w:r w:rsidR="00D125EC" w:rsidRPr="00D125EC">
        <w:t>o</w:t>
      </w:r>
      <w:r w:rsidR="00D125EC">
        <w:t> </w:t>
      </w:r>
      <w:r w:rsidRPr="00D125EC">
        <w:t>zmianie</w:t>
      </w:r>
      <w:r w:rsidRPr="002E29EC">
        <w:rPr>
          <w:rFonts w:eastAsia="Times New Roman" w:cs="Times New Roman"/>
          <w:szCs w:val="24"/>
          <w:lang w:eastAsia="pl-PL"/>
        </w:rPr>
        <w:t xml:space="preserve"> niektórych ustaw w związku z wdrażaniem rozwiązań w obszarze e-zdrowia (Dz. U. poz. 1590).</w:t>
      </w:r>
      <w:r>
        <w:rPr>
          <w:rFonts w:eastAsia="Times New Roman" w:cs="Times New Roman"/>
          <w:szCs w:val="24"/>
          <w:lang w:eastAsia="pl-PL"/>
        </w:rPr>
        <w:t xml:space="preserve"> W</w:t>
      </w:r>
      <w:r w:rsidR="00D125EC">
        <w:rPr>
          <w:rFonts w:eastAsia="Times New Roman" w:cs="Times New Roman"/>
          <w:szCs w:val="24"/>
          <w:lang w:eastAsia="pl-PL"/>
        </w:rPr>
        <w:t>ówczas w</w:t>
      </w:r>
      <w:r>
        <w:rPr>
          <w:rFonts w:eastAsia="Times New Roman" w:cs="Times New Roman"/>
          <w:szCs w:val="24"/>
          <w:lang w:eastAsia="pl-PL"/>
        </w:rPr>
        <w:t xml:space="preserve"> uzasadnieniu ustawy wskazano</w:t>
      </w:r>
      <w:r w:rsidR="00433A68">
        <w:rPr>
          <w:rFonts w:eastAsia="Times New Roman" w:cs="Times New Roman"/>
          <w:szCs w:val="24"/>
          <w:lang w:eastAsia="pl-PL"/>
        </w:rPr>
        <w:t>: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14:paraId="37027CEA" w14:textId="77777777" w:rsidR="00433A68" w:rsidRDefault="00433A68" w:rsidP="002E29EC">
      <w:pPr>
        <w:jc w:val="both"/>
        <w:rPr>
          <w:rFonts w:eastAsia="Times New Roman" w:cs="Times New Roman"/>
          <w:szCs w:val="24"/>
          <w:lang w:eastAsia="pl-PL"/>
        </w:rPr>
      </w:pPr>
    </w:p>
    <w:p w14:paraId="757EF4AC" w14:textId="77777777" w:rsidR="002E29EC" w:rsidRPr="002E29EC" w:rsidRDefault="00433A68" w:rsidP="002E29EC">
      <w:pPr>
        <w:ind w:left="567" w:right="567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„</w:t>
      </w:r>
      <w:r w:rsidR="002E29EC" w:rsidRPr="002E29EC">
        <w:rPr>
          <w:rFonts w:eastAsia="Times New Roman" w:cs="Times New Roman"/>
          <w:szCs w:val="24"/>
          <w:lang w:eastAsia="pl-PL"/>
        </w:rPr>
        <w:t>Dodatkowo w art. 5 ust. 3a ustawy o systemie proponuje się wyłączyć dane zawarte w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SIM, w wybranych systemach dziedzinowych oraz w rejestrach medycznych z reżimu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udostępniania informacji w ramach ustawy z dnia 6 września 2001 r. o dostępie do informacji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publicznej (Dz. U.</w:t>
      </w:r>
      <w:r w:rsidR="007C652C">
        <w:rPr>
          <w:rFonts w:eastAsia="Times New Roman" w:cs="Times New Roman"/>
          <w:szCs w:val="24"/>
          <w:lang w:eastAsia="pl-PL"/>
        </w:rPr>
        <w:t xml:space="preserve"> z 2018 r. poz. 1330 i 1669). W </w:t>
      </w:r>
      <w:r w:rsidR="002E29EC" w:rsidRPr="002E29EC">
        <w:rPr>
          <w:rFonts w:eastAsia="Times New Roman" w:cs="Times New Roman"/>
          <w:szCs w:val="24"/>
          <w:lang w:eastAsia="pl-PL"/>
        </w:rPr>
        <w:t>związku z pojawiającymi się wątpliwościami,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w szczególności w orzecznictwie sądów administracyjnych co do charakteru prawnego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7C652C">
        <w:rPr>
          <w:rFonts w:eastAsia="Times New Roman" w:cs="Times New Roman"/>
          <w:szCs w:val="24"/>
          <w:lang w:eastAsia="pl-PL"/>
        </w:rPr>
        <w:t>informacji zawartych w </w:t>
      </w:r>
      <w:r w:rsidR="002E29EC" w:rsidRPr="002E29EC">
        <w:rPr>
          <w:rFonts w:eastAsia="Times New Roman" w:cs="Times New Roman"/>
          <w:szCs w:val="24"/>
          <w:lang w:eastAsia="pl-PL"/>
        </w:rPr>
        <w:t>rejestrach medycznych projektodawca przesądził tym samym, że dane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zawarte na Platformie P1, rejestrach medycznych i następujących systemach dziedzinowych –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Systemie Rejestru Usług Medycznych Narodowego Fundusz Zdrowia (RUM NFZ), Systemie</w:t>
      </w:r>
      <w:r w:rsidR="002E29EC"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 xml:space="preserve">Monitorowania Zagrożeń, Systemie Monitorowania </w:t>
      </w:r>
      <w:r w:rsidR="002E29EC">
        <w:rPr>
          <w:rFonts w:eastAsia="Times New Roman" w:cs="Times New Roman"/>
          <w:szCs w:val="24"/>
          <w:lang w:eastAsia="pl-PL"/>
        </w:rPr>
        <w:t xml:space="preserve">Kosztów Leczenia, Zintegrowanym </w:t>
      </w:r>
      <w:r w:rsidR="002E29EC" w:rsidRPr="002E29EC">
        <w:rPr>
          <w:rFonts w:eastAsia="Times New Roman" w:cs="Times New Roman"/>
          <w:szCs w:val="24"/>
          <w:lang w:eastAsia="pl-PL"/>
        </w:rPr>
        <w:t>Systemie Monitorowania Obrotu Produktami Lecz</w:t>
      </w:r>
      <w:r w:rsidR="002E29EC">
        <w:rPr>
          <w:rFonts w:eastAsia="Times New Roman" w:cs="Times New Roman"/>
          <w:szCs w:val="24"/>
          <w:lang w:eastAsia="pl-PL"/>
        </w:rPr>
        <w:t xml:space="preserve">niczymi, Systemie Monitorowania </w:t>
      </w:r>
      <w:r w:rsidR="002E29EC" w:rsidRPr="002E29EC">
        <w:rPr>
          <w:rFonts w:eastAsia="Times New Roman" w:cs="Times New Roman"/>
          <w:szCs w:val="24"/>
          <w:lang w:eastAsia="pl-PL"/>
        </w:rPr>
        <w:t>Kształcenia Pracowników Medycznych, Systemie Obsługi Lis</w:t>
      </w:r>
      <w:r w:rsidR="002E29EC">
        <w:rPr>
          <w:rFonts w:eastAsia="Times New Roman" w:cs="Times New Roman"/>
          <w:szCs w:val="24"/>
          <w:lang w:eastAsia="pl-PL"/>
        </w:rPr>
        <w:t xml:space="preserve">t Refundacyjnych oraz Rejestrze </w:t>
      </w:r>
      <w:r w:rsidR="002E29EC" w:rsidRPr="002E29EC">
        <w:rPr>
          <w:rFonts w:eastAsia="Times New Roman" w:cs="Times New Roman"/>
          <w:szCs w:val="24"/>
          <w:lang w:eastAsia="pl-PL"/>
        </w:rPr>
        <w:t xml:space="preserve">Asystentów Medycznych nie będą udostępniane w oparciu o </w:t>
      </w:r>
      <w:r w:rsidR="002E29EC">
        <w:rPr>
          <w:rFonts w:eastAsia="Times New Roman" w:cs="Times New Roman"/>
          <w:szCs w:val="24"/>
          <w:lang w:eastAsia="pl-PL"/>
        </w:rPr>
        <w:t xml:space="preserve">procedurę dostępu do informacji </w:t>
      </w:r>
      <w:r w:rsidR="007C652C">
        <w:rPr>
          <w:rFonts w:eastAsia="Times New Roman" w:cs="Times New Roman"/>
          <w:szCs w:val="24"/>
          <w:lang w:eastAsia="pl-PL"/>
        </w:rPr>
        <w:t>publicznej, a </w:t>
      </w:r>
      <w:r w:rsidR="002E29EC" w:rsidRPr="002E29EC">
        <w:rPr>
          <w:rFonts w:eastAsia="Times New Roman" w:cs="Times New Roman"/>
          <w:szCs w:val="24"/>
          <w:lang w:eastAsia="pl-PL"/>
        </w:rPr>
        <w:t>udostępnienie zawartych w tych zbiorach dany</w:t>
      </w:r>
      <w:r w:rsidR="002E29EC">
        <w:rPr>
          <w:rFonts w:eastAsia="Times New Roman" w:cs="Times New Roman"/>
          <w:szCs w:val="24"/>
          <w:lang w:eastAsia="pl-PL"/>
        </w:rPr>
        <w:t xml:space="preserve">ch będzie następowało w oparciu </w:t>
      </w:r>
      <w:r w:rsidR="002E29EC" w:rsidRPr="002E29EC">
        <w:rPr>
          <w:rFonts w:eastAsia="Times New Roman" w:cs="Times New Roman"/>
          <w:szCs w:val="24"/>
          <w:lang w:eastAsia="pl-PL"/>
        </w:rPr>
        <w:lastRenderedPageBreak/>
        <w:t>jedynie o przepisy ustawy o systemie informacji w ochro</w:t>
      </w:r>
      <w:r w:rsidR="002E29EC">
        <w:rPr>
          <w:rFonts w:eastAsia="Times New Roman" w:cs="Times New Roman"/>
          <w:szCs w:val="24"/>
          <w:lang w:eastAsia="pl-PL"/>
        </w:rPr>
        <w:t xml:space="preserve">nie zdrowia. Dane zawarte w ww. </w:t>
      </w:r>
      <w:r w:rsidR="002E29EC" w:rsidRPr="002E29EC">
        <w:rPr>
          <w:rFonts w:eastAsia="Times New Roman" w:cs="Times New Roman"/>
          <w:szCs w:val="24"/>
          <w:lang w:eastAsia="pl-PL"/>
        </w:rPr>
        <w:t>systemach oraz rejestrach stanowią dane osobowe, jedn</w:t>
      </w:r>
      <w:r w:rsidR="002E29EC">
        <w:rPr>
          <w:rFonts w:eastAsia="Times New Roman" w:cs="Times New Roman"/>
          <w:szCs w:val="24"/>
          <w:lang w:eastAsia="pl-PL"/>
        </w:rPr>
        <w:t xml:space="preserve">ostkowe dane medyczne oraz dane </w:t>
      </w:r>
      <w:r w:rsidR="002E29EC" w:rsidRPr="002E29EC">
        <w:rPr>
          <w:rFonts w:eastAsia="Times New Roman" w:cs="Times New Roman"/>
          <w:szCs w:val="24"/>
          <w:lang w:eastAsia="pl-PL"/>
        </w:rPr>
        <w:t xml:space="preserve">stanowiące tajemnicę przedsiębiorstwa w zakresie obrotu </w:t>
      </w:r>
      <w:r w:rsidR="002E29EC">
        <w:rPr>
          <w:rFonts w:eastAsia="Times New Roman" w:cs="Times New Roman"/>
          <w:szCs w:val="24"/>
          <w:lang w:eastAsia="pl-PL"/>
        </w:rPr>
        <w:t xml:space="preserve">produktami leczniczymi (ZSMOPL) </w:t>
      </w:r>
      <w:r w:rsidR="002E29EC" w:rsidRPr="002E29EC">
        <w:rPr>
          <w:rFonts w:eastAsia="Times New Roman" w:cs="Times New Roman"/>
          <w:szCs w:val="24"/>
          <w:lang w:eastAsia="pl-PL"/>
        </w:rPr>
        <w:t>oraz danych związanych ze składanymi wnioskami o r</w:t>
      </w:r>
      <w:r w:rsidR="002E29EC">
        <w:rPr>
          <w:rFonts w:eastAsia="Times New Roman" w:cs="Times New Roman"/>
          <w:szCs w:val="24"/>
          <w:lang w:eastAsia="pl-PL"/>
        </w:rPr>
        <w:t xml:space="preserve">efundację leków (SOLR), których </w:t>
      </w:r>
      <w:r w:rsidR="002E29EC" w:rsidRPr="002E29EC">
        <w:rPr>
          <w:rFonts w:eastAsia="Times New Roman" w:cs="Times New Roman"/>
          <w:szCs w:val="24"/>
          <w:lang w:eastAsia="pl-PL"/>
        </w:rPr>
        <w:t xml:space="preserve">udostępnienie mogłoby naruszać interesy osób fizycznych lub </w:t>
      </w:r>
      <w:r w:rsidR="002E29EC">
        <w:rPr>
          <w:rFonts w:eastAsia="Times New Roman" w:cs="Times New Roman"/>
          <w:szCs w:val="24"/>
          <w:lang w:eastAsia="pl-PL"/>
        </w:rPr>
        <w:t xml:space="preserve">przedsiębiorców. Zgodnie z art. </w:t>
      </w:r>
      <w:r w:rsidR="002E29EC" w:rsidRPr="002E29EC">
        <w:rPr>
          <w:rFonts w:eastAsia="Times New Roman" w:cs="Times New Roman"/>
          <w:szCs w:val="24"/>
          <w:lang w:eastAsia="pl-PL"/>
        </w:rPr>
        <w:t>9 rozporządzeniem RODO dane dotyczące zdrowia należą do</w:t>
      </w:r>
      <w:r w:rsidR="002E29EC">
        <w:rPr>
          <w:rFonts w:eastAsia="Times New Roman" w:cs="Times New Roman"/>
          <w:szCs w:val="24"/>
          <w:lang w:eastAsia="pl-PL"/>
        </w:rPr>
        <w:t xml:space="preserve"> kategorii danych szczególnych. </w:t>
      </w:r>
      <w:r w:rsidR="002E29EC" w:rsidRPr="002E29EC">
        <w:rPr>
          <w:rFonts w:eastAsia="Times New Roman" w:cs="Times New Roman"/>
          <w:szCs w:val="24"/>
          <w:lang w:eastAsia="pl-PL"/>
        </w:rPr>
        <w:t>Zasady udostępniania tej kategorii danych wymagają szc</w:t>
      </w:r>
      <w:r w:rsidR="002E29EC">
        <w:rPr>
          <w:rFonts w:eastAsia="Times New Roman" w:cs="Times New Roman"/>
          <w:szCs w:val="24"/>
          <w:lang w:eastAsia="pl-PL"/>
        </w:rPr>
        <w:t xml:space="preserve">zególnych regulacji ustawowych, </w:t>
      </w:r>
      <w:r w:rsidR="002E29EC" w:rsidRPr="002E29EC">
        <w:rPr>
          <w:rFonts w:eastAsia="Times New Roman" w:cs="Times New Roman"/>
          <w:szCs w:val="24"/>
          <w:lang w:eastAsia="pl-PL"/>
        </w:rPr>
        <w:t>która winna wskazywać komu, kiedy i na jakich zasadac</w:t>
      </w:r>
      <w:r w:rsidR="002E29EC">
        <w:rPr>
          <w:rFonts w:eastAsia="Times New Roman" w:cs="Times New Roman"/>
          <w:szCs w:val="24"/>
          <w:lang w:eastAsia="pl-PL"/>
        </w:rPr>
        <w:t xml:space="preserve">h udostępnia się dane osobowe i </w:t>
      </w:r>
      <w:r w:rsidR="002E29EC" w:rsidRPr="002E29EC">
        <w:rPr>
          <w:rFonts w:eastAsia="Times New Roman" w:cs="Times New Roman"/>
          <w:szCs w:val="24"/>
          <w:lang w:eastAsia="pl-PL"/>
        </w:rPr>
        <w:t>jednostkowe dane medyczne zawarte w systemie informa</w:t>
      </w:r>
      <w:r w:rsidR="002E29EC">
        <w:rPr>
          <w:rFonts w:eastAsia="Times New Roman" w:cs="Times New Roman"/>
          <w:szCs w:val="24"/>
          <w:lang w:eastAsia="pl-PL"/>
        </w:rPr>
        <w:t xml:space="preserve">cji w ochronie zdrowia, a zatem </w:t>
      </w:r>
      <w:r w:rsidR="002E29EC" w:rsidRPr="002E29EC">
        <w:rPr>
          <w:rFonts w:eastAsia="Times New Roman" w:cs="Times New Roman"/>
          <w:szCs w:val="24"/>
          <w:lang w:eastAsia="pl-PL"/>
        </w:rPr>
        <w:t>przepisy ustawy z dnia 6 września 2001 r. o dostępie do info</w:t>
      </w:r>
      <w:r w:rsidR="002E29EC">
        <w:rPr>
          <w:rFonts w:eastAsia="Times New Roman" w:cs="Times New Roman"/>
          <w:szCs w:val="24"/>
          <w:lang w:eastAsia="pl-PL"/>
        </w:rPr>
        <w:t xml:space="preserve">rmacji publicznej nie mogą mieć </w:t>
      </w:r>
      <w:r w:rsidR="002E29EC" w:rsidRPr="002E29EC">
        <w:rPr>
          <w:rFonts w:eastAsia="Times New Roman" w:cs="Times New Roman"/>
          <w:szCs w:val="24"/>
          <w:lang w:eastAsia="pl-PL"/>
        </w:rPr>
        <w:t>tu zastosowania. W interesie publicznym jest wyłączenie d</w:t>
      </w:r>
      <w:r w:rsidR="002E29EC">
        <w:rPr>
          <w:rFonts w:eastAsia="Times New Roman" w:cs="Times New Roman"/>
          <w:szCs w:val="24"/>
          <w:lang w:eastAsia="pl-PL"/>
        </w:rPr>
        <w:t xml:space="preserve">anych osobowych i jednostkowych </w:t>
      </w:r>
      <w:r w:rsidR="002E29EC" w:rsidRPr="002E29EC">
        <w:rPr>
          <w:rFonts w:eastAsia="Times New Roman" w:cs="Times New Roman"/>
          <w:szCs w:val="24"/>
          <w:lang w:eastAsia="pl-PL"/>
        </w:rPr>
        <w:t>danych medycznych, jak również danych objętych ww. tajemnicą z procedury dostępu do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2E29EC" w:rsidRPr="002E29EC">
        <w:rPr>
          <w:rFonts w:eastAsia="Times New Roman" w:cs="Times New Roman"/>
          <w:szCs w:val="24"/>
          <w:lang w:eastAsia="pl-PL"/>
        </w:rPr>
        <w:t>informacji publicznej.</w:t>
      </w:r>
      <w:r>
        <w:rPr>
          <w:rFonts w:eastAsia="Times New Roman" w:cs="Times New Roman"/>
          <w:szCs w:val="24"/>
          <w:lang w:eastAsia="pl-PL"/>
        </w:rPr>
        <w:t>”</w:t>
      </w:r>
      <w:r>
        <w:rPr>
          <w:rStyle w:val="Odwoanieprzypisudolnego"/>
          <w:rFonts w:eastAsia="Times New Roman" w:cs="Times New Roman"/>
          <w:szCs w:val="24"/>
          <w:lang w:eastAsia="pl-PL"/>
        </w:rPr>
        <w:footnoteReference w:id="5"/>
      </w:r>
    </w:p>
    <w:p w14:paraId="227D5842" w14:textId="77777777" w:rsidR="002E29EC" w:rsidRDefault="002E29EC" w:rsidP="000C6DC0">
      <w:pPr>
        <w:jc w:val="both"/>
      </w:pPr>
    </w:p>
    <w:p w14:paraId="3DAF9380" w14:textId="77777777" w:rsidR="00346FF2" w:rsidRDefault="00D125EC" w:rsidP="000C6DC0">
      <w:pPr>
        <w:jc w:val="both"/>
      </w:pPr>
      <w:r>
        <w:t xml:space="preserve">Z taką argumentacją nie sposób się zgodzić. </w:t>
      </w:r>
      <w:r w:rsidRPr="008C1EFD">
        <w:rPr>
          <w:b/>
        </w:rPr>
        <w:t>Dalsze ob</w:t>
      </w:r>
      <w:r w:rsidR="00231136">
        <w:rPr>
          <w:b/>
        </w:rPr>
        <w:t xml:space="preserve">owiązywanie wprowadzonego wówczas </w:t>
      </w:r>
      <w:r w:rsidRPr="008C1EFD">
        <w:rPr>
          <w:b/>
        </w:rPr>
        <w:t>wyłączenia budzi wątpliwości i należałoby rozważyć jego uchylenie.</w:t>
      </w:r>
      <w:r>
        <w:t xml:space="preserve"> </w:t>
      </w:r>
    </w:p>
    <w:p w14:paraId="13BA5FD5" w14:textId="77777777" w:rsidR="00346FF2" w:rsidRDefault="00346FF2" w:rsidP="000C6DC0">
      <w:pPr>
        <w:jc w:val="both"/>
      </w:pPr>
    </w:p>
    <w:p w14:paraId="6FFB290C" w14:textId="77777777" w:rsidR="00D125EC" w:rsidRDefault="008C1EFD" w:rsidP="000C6DC0">
      <w:pPr>
        <w:jc w:val="both"/>
      </w:pPr>
      <w:r>
        <w:t>N</w:t>
      </w:r>
      <w:r w:rsidR="00D125EC">
        <w:t xml:space="preserve">ależy wskazać, że </w:t>
      </w:r>
      <w:r w:rsidR="008C6CF5">
        <w:t>podobnie jak w przypadku u.o.d.p.w.i.s.p.</w:t>
      </w:r>
      <w:r w:rsidR="007C652C">
        <w:t>, tak i w </w:t>
      </w:r>
      <w:r w:rsidR="008C6CF5">
        <w:t xml:space="preserve">przypadku </w:t>
      </w:r>
      <w:r w:rsidR="00973DE0">
        <w:t>u.d.i.p. w </w:t>
      </w:r>
      <w:r w:rsidR="006A5B71">
        <w:t>ustawie znajduje się katalog przesłanek ograniczających dostęp do informacji publicznej. Przykładowo w powyższym uzasadnieniu wskazano, że „</w:t>
      </w:r>
      <w:r w:rsidR="006A5B71" w:rsidRPr="002E29EC">
        <w:rPr>
          <w:rFonts w:eastAsia="Times New Roman" w:cs="Times New Roman"/>
          <w:szCs w:val="24"/>
          <w:lang w:eastAsia="pl-PL"/>
        </w:rPr>
        <w:t>W interesie publicznym jest wyłączenie d</w:t>
      </w:r>
      <w:r w:rsidR="006A5B71">
        <w:rPr>
          <w:rFonts w:eastAsia="Times New Roman" w:cs="Times New Roman"/>
          <w:szCs w:val="24"/>
          <w:lang w:eastAsia="pl-PL"/>
        </w:rPr>
        <w:t>anych osobowych (…)”. Tak naprawdę jest to jednak argument pozorny, ponieważ w takiej sytuacji znajdzie zastosowanie art. 5 ust. 2 u.d.i.p., który stanowi, ze prawo do informacji publicznej podlega ograniczeniu ze względu na prywatność osoby fizycznej.</w:t>
      </w:r>
      <w:r w:rsidR="00E01429">
        <w:rPr>
          <w:rFonts w:eastAsia="Times New Roman" w:cs="Times New Roman"/>
          <w:szCs w:val="24"/>
          <w:lang w:eastAsia="pl-PL"/>
        </w:rPr>
        <w:t xml:space="preserve"> W tym zakresie nie powstaje koniecznoś</w:t>
      </w:r>
      <w:r w:rsidR="00346FF2">
        <w:rPr>
          <w:rFonts w:eastAsia="Times New Roman" w:cs="Times New Roman"/>
          <w:szCs w:val="24"/>
          <w:lang w:eastAsia="pl-PL"/>
        </w:rPr>
        <w:t>ć wprowadzenia tak szerokiego i </w:t>
      </w:r>
      <w:r w:rsidR="00973DE0">
        <w:rPr>
          <w:rFonts w:eastAsia="Times New Roman" w:cs="Times New Roman"/>
          <w:szCs w:val="24"/>
          <w:lang w:eastAsia="pl-PL"/>
        </w:rPr>
        <w:t>arbitralnego wyłączenia. Z </w:t>
      </w:r>
      <w:r w:rsidR="00E01429">
        <w:rPr>
          <w:rFonts w:eastAsia="Times New Roman" w:cs="Times New Roman"/>
          <w:szCs w:val="24"/>
          <w:lang w:eastAsia="pl-PL"/>
        </w:rPr>
        <w:t>podobną sytuacją mamy do czynienia w odniesieniu do obecnie projektowanych zmian.</w:t>
      </w:r>
    </w:p>
    <w:p w14:paraId="116293D1" w14:textId="77777777" w:rsidR="002B24EB" w:rsidRDefault="002B24EB"/>
    <w:p w14:paraId="0DCD867B" w14:textId="77777777" w:rsidR="002B24EB" w:rsidRDefault="002B24EB">
      <w:pPr>
        <w:rPr>
          <w:i/>
        </w:rPr>
      </w:pPr>
      <w:r>
        <w:rPr>
          <w:i/>
        </w:rPr>
        <w:t>Opinię sporządził r. pr. Piotr Sołowij.</w:t>
      </w:r>
    </w:p>
    <w:p w14:paraId="20ACD016" w14:textId="77777777" w:rsidR="00BD21E5" w:rsidRDefault="00BD21E5">
      <w:pPr>
        <w:rPr>
          <w:i/>
        </w:rPr>
      </w:pPr>
    </w:p>
    <w:sectPr w:rsidR="00BD21E5" w:rsidSect="0045053F">
      <w:headerReference w:type="default" r:id="rId8"/>
      <w:foot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DB15" w14:textId="77777777" w:rsidR="00D22961" w:rsidRDefault="00D22961" w:rsidP="00F74802">
      <w:pPr>
        <w:spacing w:line="240" w:lineRule="auto"/>
      </w:pPr>
      <w:r>
        <w:separator/>
      </w:r>
    </w:p>
  </w:endnote>
  <w:endnote w:type="continuationSeparator" w:id="0">
    <w:p w14:paraId="4C91DE8E" w14:textId="77777777" w:rsidR="00D22961" w:rsidRDefault="00D22961" w:rsidP="00F74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9388"/>
      <w:docPartObj>
        <w:docPartGallery w:val="Page Numbers (Bottom of Page)"/>
        <w:docPartUnique/>
      </w:docPartObj>
    </w:sdtPr>
    <w:sdtContent>
      <w:p w14:paraId="1E0CC376" w14:textId="509C8D21" w:rsidR="00E01429" w:rsidRDefault="00E014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136">
          <w:rPr>
            <w:noProof/>
          </w:rPr>
          <w:t>5</w:t>
        </w:r>
        <w:r>
          <w:fldChar w:fldCharType="end"/>
        </w:r>
      </w:p>
    </w:sdtContent>
  </w:sdt>
  <w:p w14:paraId="6AB35344" w14:textId="20DF1996" w:rsidR="00E01429" w:rsidRDefault="0045053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766A30D" wp14:editId="29E546DE">
          <wp:simplePos x="0" y="0"/>
          <wp:positionH relativeFrom="page">
            <wp:align>left</wp:align>
          </wp:positionH>
          <wp:positionV relativeFrom="paragraph">
            <wp:posOffset>210185</wp:posOffset>
          </wp:positionV>
          <wp:extent cx="7560310" cy="398145"/>
          <wp:effectExtent l="0" t="0" r="2540" b="1905"/>
          <wp:wrapSquare wrapText="bothSides"/>
          <wp:docPr id="2" name="Obraz 2" descr="C:\Users\Michał\Desktop\sowp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\Desktop\sowp_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B5A3" w14:textId="77777777" w:rsidR="00D22961" w:rsidRDefault="00D22961" w:rsidP="00F74802">
      <w:pPr>
        <w:spacing w:line="240" w:lineRule="auto"/>
      </w:pPr>
      <w:r>
        <w:separator/>
      </w:r>
    </w:p>
  </w:footnote>
  <w:footnote w:type="continuationSeparator" w:id="0">
    <w:p w14:paraId="60E1E12F" w14:textId="77777777" w:rsidR="00D22961" w:rsidRDefault="00D22961" w:rsidP="00F74802">
      <w:pPr>
        <w:spacing w:line="240" w:lineRule="auto"/>
      </w:pPr>
      <w:r>
        <w:continuationSeparator/>
      </w:r>
    </w:p>
  </w:footnote>
  <w:footnote w:id="1">
    <w:p w14:paraId="4926808D" w14:textId="77777777" w:rsidR="00F74802" w:rsidRPr="00F74802" w:rsidRDefault="00F74802" w:rsidP="00F74802">
      <w:pPr>
        <w:spacing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F74802">
        <w:rPr>
          <w:rStyle w:val="Odwoanieprzypisudolnego"/>
          <w:sz w:val="20"/>
        </w:rPr>
        <w:footnoteRef/>
      </w:r>
      <w:r w:rsidRPr="00F74802">
        <w:rPr>
          <w:sz w:val="20"/>
        </w:rPr>
        <w:t xml:space="preserve"> </w:t>
      </w:r>
      <w:r w:rsidRPr="00F74802">
        <w:rPr>
          <w:rFonts w:eastAsia="Times New Roman" w:cs="Times New Roman"/>
          <w:sz w:val="20"/>
          <w:szCs w:val="24"/>
          <w:lang w:eastAsia="pl-PL"/>
        </w:rPr>
        <w:t xml:space="preserve">M. Sakowska-Baryła, </w:t>
      </w:r>
      <w:r w:rsidRPr="00F74802">
        <w:rPr>
          <w:rFonts w:eastAsia="Times New Roman" w:cs="Times New Roman"/>
          <w:iCs/>
          <w:sz w:val="20"/>
          <w:szCs w:val="24"/>
          <w:lang w:eastAsia="pl-PL"/>
        </w:rPr>
        <w:t>2.4. Charakterystyka prawa do ponownego wykorzystywania informacji sektora publicznego</w:t>
      </w:r>
      <w:r w:rsidRPr="00F74802">
        <w:rPr>
          <w:rFonts w:eastAsia="Times New Roman" w:cs="Times New Roman"/>
          <w:sz w:val="20"/>
          <w:szCs w:val="24"/>
          <w:lang w:eastAsia="pl-PL"/>
        </w:rPr>
        <w:t xml:space="preserve"> [w:] </w:t>
      </w:r>
      <w:r w:rsidRPr="00F74802">
        <w:rPr>
          <w:rFonts w:eastAsia="Times New Roman" w:cs="Times New Roman"/>
          <w:iCs/>
          <w:sz w:val="20"/>
          <w:szCs w:val="24"/>
          <w:lang w:eastAsia="pl-PL"/>
        </w:rPr>
        <w:t>Ochrona danych osobowych a dostęp do informacji publicznej i ponowne wykorzystywanie informacji sektora publicznego</w:t>
      </w:r>
      <w:r w:rsidRPr="00F74802">
        <w:rPr>
          <w:rFonts w:eastAsia="Times New Roman" w:cs="Times New Roman"/>
          <w:sz w:val="20"/>
          <w:szCs w:val="24"/>
          <w:lang w:eastAsia="pl-PL"/>
        </w:rPr>
        <w:t>, Warszawa 2022.</w:t>
      </w:r>
    </w:p>
    <w:p w14:paraId="651E7D28" w14:textId="77777777" w:rsidR="00F74802" w:rsidRPr="00F74802" w:rsidRDefault="00F74802" w:rsidP="00F74802">
      <w:pPr>
        <w:pStyle w:val="Tekstprzypisudolnego"/>
        <w:jc w:val="right"/>
      </w:pPr>
    </w:p>
  </w:footnote>
  <w:footnote w:id="2">
    <w:p w14:paraId="5DB462DD" w14:textId="77777777" w:rsidR="0026398F" w:rsidRPr="00346FF2" w:rsidRDefault="0026398F" w:rsidP="00346FF2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6398F">
        <w:rPr>
          <w:rFonts w:eastAsia="Times New Roman" w:cs="Times New Roman"/>
          <w:sz w:val="20"/>
          <w:szCs w:val="24"/>
          <w:lang w:eastAsia="pl-PL"/>
        </w:rPr>
        <w:t xml:space="preserve">B. Fischer, A. Piskorz-Ryń, M. Sakowska-Baryła, J. </w:t>
      </w:r>
      <w:proofErr w:type="spellStart"/>
      <w:r w:rsidRPr="0026398F">
        <w:rPr>
          <w:rFonts w:eastAsia="Times New Roman" w:cs="Times New Roman"/>
          <w:sz w:val="20"/>
          <w:szCs w:val="24"/>
          <w:lang w:eastAsia="pl-PL"/>
        </w:rPr>
        <w:t>Wyporska</w:t>
      </w:r>
      <w:proofErr w:type="spellEnd"/>
      <w:r w:rsidRPr="0026398F">
        <w:rPr>
          <w:rFonts w:eastAsia="Times New Roman" w:cs="Times New Roman"/>
          <w:sz w:val="20"/>
          <w:szCs w:val="24"/>
          <w:lang w:eastAsia="pl-PL"/>
        </w:rPr>
        <w:t xml:space="preserve">-Frankiewicz [w:] B. Fischer, A. Piskorz-Ryń, M. Sakowska-Baryła, J. </w:t>
      </w:r>
      <w:proofErr w:type="spellStart"/>
      <w:r w:rsidRPr="0026398F">
        <w:rPr>
          <w:rFonts w:eastAsia="Times New Roman" w:cs="Times New Roman"/>
          <w:sz w:val="20"/>
          <w:szCs w:val="24"/>
          <w:lang w:eastAsia="pl-PL"/>
        </w:rPr>
        <w:t>Wyporska</w:t>
      </w:r>
      <w:proofErr w:type="spellEnd"/>
      <w:r w:rsidRPr="0026398F">
        <w:rPr>
          <w:rFonts w:eastAsia="Times New Roman" w:cs="Times New Roman"/>
          <w:sz w:val="20"/>
          <w:szCs w:val="24"/>
          <w:lang w:eastAsia="pl-PL"/>
        </w:rPr>
        <w:t xml:space="preserve">-Frankiewicz, </w:t>
      </w:r>
      <w:r w:rsidRPr="0026398F">
        <w:rPr>
          <w:rFonts w:eastAsia="Times New Roman" w:cs="Times New Roman"/>
          <w:iCs/>
          <w:sz w:val="20"/>
          <w:szCs w:val="24"/>
          <w:lang w:eastAsia="pl-PL"/>
        </w:rPr>
        <w:t>Ustawa o otwartych danych i ponownym wykorzystywaniu informacji sektora publicznego. Komentarz</w:t>
      </w:r>
      <w:r w:rsidRPr="0026398F">
        <w:rPr>
          <w:rFonts w:eastAsia="Times New Roman" w:cs="Times New Roman"/>
          <w:sz w:val="20"/>
          <w:szCs w:val="24"/>
          <w:lang w:eastAsia="pl-PL"/>
        </w:rPr>
        <w:t xml:space="preserve">, Warszawa 2022, art. 1., pkt 1 </w:t>
      </w:r>
    </w:p>
  </w:footnote>
  <w:footnote w:id="3">
    <w:p w14:paraId="6C41915F" w14:textId="77777777" w:rsidR="00346FF2" w:rsidRDefault="00346FF2">
      <w:pPr>
        <w:pStyle w:val="Tekstprzypisudolnego"/>
      </w:pPr>
      <w:r>
        <w:rPr>
          <w:rStyle w:val="Odwoanieprzypisudolnego"/>
        </w:rPr>
        <w:footnoteRef/>
      </w:r>
      <w:r>
        <w:t xml:space="preserve"> Tamże, pkt 2.4.</w:t>
      </w:r>
    </w:p>
  </w:footnote>
  <w:footnote w:id="4">
    <w:p w14:paraId="2A72E897" w14:textId="77777777" w:rsidR="00346FF2" w:rsidRDefault="00346FF2">
      <w:pPr>
        <w:pStyle w:val="Tekstprzypisudolnego"/>
      </w:pPr>
      <w:r>
        <w:rPr>
          <w:rStyle w:val="Odwoanieprzypisudolnego"/>
        </w:rPr>
        <w:footnoteRef/>
      </w:r>
      <w:r>
        <w:t xml:space="preserve"> Tamże, pkt 2.5.</w:t>
      </w:r>
    </w:p>
  </w:footnote>
  <w:footnote w:id="5">
    <w:p w14:paraId="1551C518" w14:textId="77777777" w:rsidR="00433A68" w:rsidRDefault="00433A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3A68">
        <w:t>Uzasadnienie projektu ustawy - o zmianie niektórych ustaw w związku z wdrażaniem rozwiązań w obszarze e-zdrowia., Druk sejmowy nr 3620, s. 26-27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D91F" w14:textId="39C2F443" w:rsidR="0045053F" w:rsidRDefault="004505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2188EF" wp14:editId="6637D667">
          <wp:simplePos x="0" y="0"/>
          <wp:positionH relativeFrom="page">
            <wp:align>right</wp:align>
          </wp:positionH>
          <wp:positionV relativeFrom="paragraph">
            <wp:posOffset>-1204595</wp:posOffset>
          </wp:positionV>
          <wp:extent cx="2472690" cy="1236345"/>
          <wp:effectExtent l="0" t="0" r="0" b="0"/>
          <wp:wrapSquare wrapText="bothSides"/>
          <wp:docPr id="1" name="Obraz 1" descr="Obraz zawierający Czcionka, tekst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7005"/>
    <w:multiLevelType w:val="hybridMultilevel"/>
    <w:tmpl w:val="594A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84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C3"/>
    <w:rsid w:val="000009B3"/>
    <w:rsid w:val="000902E4"/>
    <w:rsid w:val="000A2573"/>
    <w:rsid w:val="000A400B"/>
    <w:rsid w:val="000C6DC0"/>
    <w:rsid w:val="000D579C"/>
    <w:rsid w:val="00150AD2"/>
    <w:rsid w:val="00180242"/>
    <w:rsid w:val="00186A9A"/>
    <w:rsid w:val="00213145"/>
    <w:rsid w:val="00231136"/>
    <w:rsid w:val="002478B1"/>
    <w:rsid w:val="0026398F"/>
    <w:rsid w:val="0029746E"/>
    <w:rsid w:val="002B24EB"/>
    <w:rsid w:val="002C0201"/>
    <w:rsid w:val="002E29EC"/>
    <w:rsid w:val="00346FF2"/>
    <w:rsid w:val="003544FE"/>
    <w:rsid w:val="00433A68"/>
    <w:rsid w:val="004425D8"/>
    <w:rsid w:val="0045053F"/>
    <w:rsid w:val="004F7610"/>
    <w:rsid w:val="00550B5F"/>
    <w:rsid w:val="0059343B"/>
    <w:rsid w:val="005E52EB"/>
    <w:rsid w:val="006A5B71"/>
    <w:rsid w:val="00746F24"/>
    <w:rsid w:val="00760AD6"/>
    <w:rsid w:val="00760C91"/>
    <w:rsid w:val="0076343A"/>
    <w:rsid w:val="007C652C"/>
    <w:rsid w:val="008402CF"/>
    <w:rsid w:val="008C1EFD"/>
    <w:rsid w:val="008C6CF5"/>
    <w:rsid w:val="00903E3C"/>
    <w:rsid w:val="0092266A"/>
    <w:rsid w:val="009518B2"/>
    <w:rsid w:val="00964B35"/>
    <w:rsid w:val="00973DE0"/>
    <w:rsid w:val="00B340AA"/>
    <w:rsid w:val="00B409A8"/>
    <w:rsid w:val="00B56520"/>
    <w:rsid w:val="00BD21E5"/>
    <w:rsid w:val="00C66D9F"/>
    <w:rsid w:val="00C80CC3"/>
    <w:rsid w:val="00CA7B8C"/>
    <w:rsid w:val="00D125EC"/>
    <w:rsid w:val="00D12A54"/>
    <w:rsid w:val="00D17A01"/>
    <w:rsid w:val="00D22961"/>
    <w:rsid w:val="00D23FD5"/>
    <w:rsid w:val="00D91900"/>
    <w:rsid w:val="00DB2835"/>
    <w:rsid w:val="00E01429"/>
    <w:rsid w:val="00E31820"/>
    <w:rsid w:val="00E6423D"/>
    <w:rsid w:val="00EA5FB6"/>
    <w:rsid w:val="00EA62C3"/>
    <w:rsid w:val="00ED680B"/>
    <w:rsid w:val="00F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1FA4"/>
  <w15:chartTrackingRefBased/>
  <w15:docId w15:val="{400E9974-8B0A-4066-822D-45A22DD0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AD2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1E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21E5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F7480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8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80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802"/>
    <w:rPr>
      <w:vertAlign w:val="superscript"/>
    </w:rPr>
  </w:style>
  <w:style w:type="character" w:customStyle="1" w:styleId="fn-ref">
    <w:name w:val="fn-ref"/>
    <w:basedOn w:val="Domylnaczcionkaakapitu"/>
    <w:rsid w:val="000A400B"/>
  </w:style>
  <w:style w:type="paragraph" w:styleId="Akapitzlist">
    <w:name w:val="List Paragraph"/>
    <w:basedOn w:val="Normalny"/>
    <w:uiPriority w:val="34"/>
    <w:qFormat/>
    <w:rsid w:val="00DB28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42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42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0142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42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4DB0-D3D3-43FA-AA0D-B0E889FB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Sołowij</dc:creator>
  <cp:keywords/>
  <dc:description/>
  <cp:lastModifiedBy>Agnieszka Zdanowicz</cp:lastModifiedBy>
  <cp:revision>2</cp:revision>
  <cp:lastPrinted>2025-07-08T11:58:00Z</cp:lastPrinted>
  <dcterms:created xsi:type="dcterms:W3CDTF">2025-07-08T12:07:00Z</dcterms:created>
  <dcterms:modified xsi:type="dcterms:W3CDTF">2025-07-08T12:07:00Z</dcterms:modified>
</cp:coreProperties>
</file>